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12" w:rsidRDefault="00841512" w:rsidP="00841512"/>
    <w:p w:rsidR="00841512" w:rsidRDefault="00471225" w:rsidP="004F52B1">
      <w:pPr>
        <w:pStyle w:val="NoSpacing"/>
      </w:pPr>
      <w:r>
        <w:t>Approved February 21, 2012</w:t>
      </w:r>
      <w:r w:rsidR="00841512">
        <w:tab/>
      </w:r>
      <w:r w:rsidR="00841512">
        <w:tab/>
      </w:r>
      <w:r>
        <w:tab/>
      </w:r>
      <w:r w:rsidR="00841512" w:rsidRPr="003B3EF0">
        <w:rPr>
          <w:b/>
        </w:rPr>
        <w:tab/>
      </w:r>
      <w:r w:rsidR="008E7A8E">
        <w:rPr>
          <w:b/>
        </w:rPr>
        <w:tab/>
      </w:r>
      <w:r w:rsidR="00841512" w:rsidRPr="00BC00F0">
        <w:rPr>
          <w:color w:val="1F497D" w:themeColor="text2"/>
        </w:rPr>
        <w:tab/>
      </w:r>
      <w:r w:rsidR="00841512">
        <w:tab/>
      </w:r>
      <w:r w:rsidR="00841512">
        <w:tab/>
      </w:r>
      <w:r w:rsidR="00841512">
        <w:tab/>
        <w:t>EC #16</w:t>
      </w:r>
    </w:p>
    <w:p w:rsidR="004F52B1" w:rsidRDefault="004F52B1" w:rsidP="004F52B1">
      <w:pPr>
        <w:pStyle w:val="NoSpacing"/>
      </w:pPr>
      <w:r>
        <w:t>9-0-0</w:t>
      </w:r>
    </w:p>
    <w:p w:rsidR="004F52B1" w:rsidRDefault="004F52B1" w:rsidP="00841512"/>
    <w:p w:rsidR="00841512" w:rsidRDefault="00841512" w:rsidP="00841512">
      <w:pPr>
        <w:jc w:val="center"/>
      </w:pPr>
      <w:bookmarkStart w:id="0" w:name="_GoBack"/>
      <w:bookmarkEnd w:id="0"/>
      <w:r>
        <w:t>UNIVERSITY FACULTY SENATE</w:t>
      </w:r>
    </w:p>
    <w:p w:rsidR="004B09FD" w:rsidRDefault="004B09FD" w:rsidP="00841512">
      <w:pPr>
        <w:jc w:val="center"/>
      </w:pPr>
      <w:r>
        <w:t>EXECUTIVE COMMITTEE</w:t>
      </w:r>
    </w:p>
    <w:p w:rsidR="004B09FD" w:rsidRDefault="004B09FD" w:rsidP="00841512">
      <w:pPr>
        <w:jc w:val="center"/>
      </w:pPr>
      <w:r>
        <w:t xml:space="preserve">FEBRUARY </w:t>
      </w:r>
      <w:r w:rsidR="00201395">
        <w:t>7</w:t>
      </w:r>
      <w:r>
        <w:t>, 2012</w:t>
      </w:r>
    </w:p>
    <w:p w:rsidR="004B09FD" w:rsidRDefault="004B09FD" w:rsidP="00841512">
      <w:pPr>
        <w:jc w:val="center"/>
      </w:pPr>
      <w:r>
        <w:t>3:30 p.m., HMSU 227</w:t>
      </w:r>
    </w:p>
    <w:p w:rsidR="004B09FD" w:rsidRDefault="004B09FD" w:rsidP="004B09FD">
      <w:r>
        <w:t>Present:  S. Lamb, K. Bolinger, J. Conant, R. Guell, T. Hawkins, B. Kilp, J. Kuhlman, C. MacDonald, T. Sawyer</w:t>
      </w:r>
    </w:p>
    <w:p w:rsidR="004B09FD" w:rsidRDefault="004B09FD" w:rsidP="004B09FD">
      <w:r>
        <w:t>Ex office:   Provost J. Maynard</w:t>
      </w:r>
    </w:p>
    <w:p w:rsidR="004B09FD" w:rsidRDefault="004B09FD" w:rsidP="004B09FD">
      <w:r>
        <w:t>Guests:</w:t>
      </w:r>
      <w:r>
        <w:tab/>
        <w:t xml:space="preserve">  Y. Peters</w:t>
      </w:r>
      <w:r w:rsidR="00F87BED">
        <w:t>o</w:t>
      </w:r>
      <w:r>
        <w:t>n</w:t>
      </w:r>
      <w:r w:rsidR="00F87BED">
        <w:t xml:space="preserve"> (AHS)</w:t>
      </w:r>
      <w:r>
        <w:t>, J. West</w:t>
      </w:r>
      <w:r w:rsidR="00F87BED">
        <w:t xml:space="preserve"> (FAC) </w:t>
      </w:r>
    </w:p>
    <w:p w:rsidR="00F33562" w:rsidRDefault="00F33562" w:rsidP="004B09FD">
      <w:pPr>
        <w:pStyle w:val="NoSpacing"/>
      </w:pPr>
    </w:p>
    <w:p w:rsidR="004B09FD" w:rsidRDefault="004B09FD" w:rsidP="004B09FD">
      <w:pPr>
        <w:pStyle w:val="NoSpacing"/>
      </w:pPr>
      <w:r>
        <w:t>I</w:t>
      </w:r>
      <w:r w:rsidR="004F647C">
        <w:t>.</w:t>
      </w:r>
      <w:r w:rsidR="004F647C">
        <w:tab/>
      </w:r>
      <w:r>
        <w:t>Administrative report</w:t>
      </w:r>
    </w:p>
    <w:p w:rsidR="004B09FD" w:rsidRPr="00BC00F0" w:rsidRDefault="004B09FD" w:rsidP="004B09FD">
      <w:pPr>
        <w:pStyle w:val="NoSpacing"/>
        <w:rPr>
          <w:color w:val="1F497D" w:themeColor="text2"/>
        </w:rPr>
      </w:pPr>
      <w:r>
        <w:tab/>
        <w:t>Provost J. Maynard</w:t>
      </w:r>
      <w:r w:rsidR="00BC00F0">
        <w:rPr>
          <w:color w:val="1F497D" w:themeColor="text2"/>
        </w:rPr>
        <w:t>:</w:t>
      </w:r>
    </w:p>
    <w:p w:rsidR="004B09FD" w:rsidRDefault="004B09FD" w:rsidP="004B09FD">
      <w:pPr>
        <w:pStyle w:val="NoSpacing"/>
      </w:pPr>
      <w:r>
        <w:tab/>
        <w:t>a.</w:t>
      </w:r>
      <w:r>
        <w:tab/>
        <w:t>Pre</w:t>
      </w:r>
      <w:r w:rsidR="00A94B72">
        <w:t xml:space="preserve">sident is out of town this week. </w:t>
      </w:r>
    </w:p>
    <w:p w:rsidR="004B09FD" w:rsidRDefault="004B09FD" w:rsidP="004B09FD">
      <w:pPr>
        <w:pStyle w:val="NoSpacing"/>
      </w:pPr>
      <w:r>
        <w:tab/>
        <w:t>b.</w:t>
      </w:r>
      <w:r>
        <w:tab/>
      </w:r>
      <w:r w:rsidR="000D79C3">
        <w:t xml:space="preserve">The </w:t>
      </w:r>
      <w:r>
        <w:t>Board of Trustee</w:t>
      </w:r>
      <w:r w:rsidR="000D79C3">
        <w:t>s</w:t>
      </w:r>
      <w:r>
        <w:t xml:space="preserve"> </w:t>
      </w:r>
      <w:proofErr w:type="gramStart"/>
      <w:r w:rsidR="000D79C3">
        <w:t>are</w:t>
      </w:r>
      <w:proofErr w:type="gramEnd"/>
      <w:r w:rsidR="000D79C3">
        <w:t xml:space="preserve"> </w:t>
      </w:r>
      <w:r>
        <w:t>meeting next week.</w:t>
      </w:r>
    </w:p>
    <w:p w:rsidR="004B09FD" w:rsidRDefault="00A94B72" w:rsidP="00D2336B">
      <w:pPr>
        <w:pStyle w:val="NoSpacing"/>
        <w:ind w:left="2160" w:hanging="720"/>
      </w:pPr>
      <w:r>
        <w:t>c.</w:t>
      </w:r>
      <w:r>
        <w:tab/>
        <w:t>The administration has looked into the issue of temporary faculty mem</w:t>
      </w:r>
      <w:r w:rsidR="00D2336B">
        <w:t xml:space="preserve">bers who had </w:t>
      </w:r>
      <w:r>
        <w:t xml:space="preserve">health </w:t>
      </w:r>
      <w:r w:rsidR="00241B4B">
        <w:t>benefits</w:t>
      </w:r>
      <w:r>
        <w:t xml:space="preserve"> removed last fall and has decided to</w:t>
      </w:r>
      <w:r w:rsidR="00D2336B">
        <w:t xml:space="preserve"> restore health benefits to </w:t>
      </w:r>
      <w:r>
        <w:t>these faculty members</w:t>
      </w:r>
      <w:r w:rsidR="00241B4B">
        <w:t xml:space="preserve"> on a one-time only basis.</w:t>
      </w:r>
      <w:r>
        <w:t xml:space="preserve">  </w:t>
      </w:r>
      <w:r w:rsidR="00F33562">
        <w:t xml:space="preserve">These are faculty members </w:t>
      </w:r>
      <w:r>
        <w:t>employed on a semester</w:t>
      </w:r>
      <w:r w:rsidR="00241B4B">
        <w:t xml:space="preserve"> </w:t>
      </w:r>
      <w:r>
        <w:t xml:space="preserve">basis </w:t>
      </w:r>
      <w:r w:rsidR="00241B4B">
        <w:t>who are teaching at least 12 hours</w:t>
      </w:r>
      <w:r w:rsidR="002D6DA7">
        <w:t xml:space="preserve"> this semester and who taught at least 12 hours last semester</w:t>
      </w:r>
      <w:r w:rsidR="00241B4B">
        <w:t>.</w:t>
      </w:r>
    </w:p>
    <w:p w:rsidR="004B09FD" w:rsidRDefault="00A94B72" w:rsidP="00A94B72">
      <w:pPr>
        <w:pStyle w:val="NoSpacing"/>
      </w:pPr>
      <w:r>
        <w:tab/>
      </w:r>
      <w:r>
        <w:tab/>
        <w:t xml:space="preserve">S. Lamb:  </w:t>
      </w:r>
      <w:r w:rsidR="00F33562">
        <w:t xml:space="preserve">Expressed </w:t>
      </w:r>
      <w:r w:rsidR="003153F1">
        <w:t>h</w:t>
      </w:r>
      <w:r w:rsidR="00F33562">
        <w:t xml:space="preserve">is appreciation and thanks to </w:t>
      </w:r>
      <w:r>
        <w:t xml:space="preserve">the president and the provost for </w:t>
      </w:r>
      <w:r w:rsidR="00F33562">
        <w:tab/>
      </w:r>
      <w:r w:rsidR="00F33562">
        <w:tab/>
      </w:r>
      <w:r w:rsidR="00F33562">
        <w:tab/>
      </w:r>
      <w:r w:rsidR="00F33562">
        <w:tab/>
        <w:t>helping to restore</w:t>
      </w:r>
      <w:r>
        <w:t xml:space="preserve"> </w:t>
      </w:r>
      <w:r w:rsidR="00241B4B">
        <w:t xml:space="preserve">health </w:t>
      </w:r>
      <w:r>
        <w:t xml:space="preserve">benefits to these faculty members who </w:t>
      </w:r>
      <w:r w:rsidR="00241B4B">
        <w:t xml:space="preserve">had already </w:t>
      </w:r>
      <w:r>
        <w:t xml:space="preserve">counted on </w:t>
      </w:r>
      <w:r w:rsidR="00F33562">
        <w:tab/>
      </w:r>
      <w:r w:rsidR="00F33562">
        <w:tab/>
      </w:r>
      <w:r w:rsidR="00F33562">
        <w:tab/>
      </w:r>
      <w:r>
        <w:t xml:space="preserve">receiving this insurance. </w:t>
      </w:r>
    </w:p>
    <w:p w:rsidR="00241B4B" w:rsidRDefault="00241B4B" w:rsidP="00A94B72">
      <w:pPr>
        <w:pStyle w:val="NoSpacing"/>
      </w:pPr>
      <w:r>
        <w:tab/>
        <w:t>d.</w:t>
      </w:r>
      <w:r>
        <w:tab/>
      </w:r>
      <w:r w:rsidRPr="00F33562">
        <w:rPr>
          <w:i/>
        </w:rPr>
        <w:t>The Faculty Awards Banquet</w:t>
      </w:r>
      <w:r>
        <w:t xml:space="preserve"> originally </w:t>
      </w:r>
      <w:r w:rsidR="00F33562">
        <w:t>scheduled for</w:t>
      </w:r>
      <w:r>
        <w:t xml:space="preserve"> April 29, 2012 has been rescheduled </w:t>
      </w:r>
      <w:r>
        <w:tab/>
      </w:r>
      <w:r>
        <w:tab/>
      </w:r>
      <w:r>
        <w:tab/>
        <w:t>to Tuesday, April 17.</w:t>
      </w:r>
    </w:p>
    <w:p w:rsidR="003153F1" w:rsidRDefault="00241B4B" w:rsidP="00D2336B">
      <w:pPr>
        <w:pStyle w:val="NoSpacing"/>
        <w:ind w:left="2160" w:hanging="720"/>
      </w:pPr>
      <w:r>
        <w:t>e.</w:t>
      </w:r>
      <w:r>
        <w:tab/>
      </w:r>
      <w:r w:rsidR="00F33562">
        <w:t xml:space="preserve">I had a phone conversation with Ken Sauer, Assoc. Commissioner this afternoon </w:t>
      </w:r>
      <w:r w:rsidR="00D2336B">
        <w:t xml:space="preserve">regarding </w:t>
      </w:r>
      <w:r>
        <w:t xml:space="preserve">their decision to withdraw </w:t>
      </w:r>
      <w:r w:rsidR="000D79C3">
        <w:t xml:space="preserve">the proposal for a </w:t>
      </w:r>
      <w:r>
        <w:t xml:space="preserve">B.S. in Civil Engineering </w:t>
      </w:r>
      <w:r w:rsidR="000D79C3">
        <w:t xml:space="preserve">Technology </w:t>
      </w:r>
      <w:r>
        <w:t>that was scheduled to go before the Indiana Commission for approval this Friday. It was pulled at the last minute. After</w:t>
      </w:r>
      <w:r w:rsidR="003153F1">
        <w:t xml:space="preserve"> an</w:t>
      </w:r>
      <w:r>
        <w:t xml:space="preserve"> extensive conversation with </w:t>
      </w:r>
      <w:r w:rsidR="0068414D">
        <w:t>the Commission,</w:t>
      </w:r>
      <w:r>
        <w:t xml:space="preserve"> it was decided </w:t>
      </w:r>
      <w:r w:rsidR="002D6DA7">
        <w:t>that the program</w:t>
      </w:r>
      <w:r w:rsidR="00D2336B">
        <w:t xml:space="preserve"> </w:t>
      </w:r>
      <w:r w:rsidR="002D6DA7">
        <w:t xml:space="preserve">would </w:t>
      </w:r>
      <w:r>
        <w:t xml:space="preserve">to be placed on the agenda for </w:t>
      </w:r>
      <w:r w:rsidR="000D79C3">
        <w:t xml:space="preserve">the </w:t>
      </w:r>
      <w:r>
        <w:t xml:space="preserve">next session.  The Commission fully expects that within the next three to four weeks the </w:t>
      </w:r>
      <w:r w:rsidR="00F33562">
        <w:t>Bachelor</w:t>
      </w:r>
      <w:r w:rsidR="002D6DA7">
        <w:t>’s</w:t>
      </w:r>
      <w:r>
        <w:t xml:space="preserve"> degrees </w:t>
      </w:r>
      <w:r w:rsidR="002D6DA7">
        <w:t xml:space="preserve">statewide </w:t>
      </w:r>
      <w:r>
        <w:t>will be limited</w:t>
      </w:r>
      <w:r w:rsidR="002D6DA7">
        <w:t>, by the legislature</w:t>
      </w:r>
      <w:r w:rsidR="000D79C3">
        <w:t>,</w:t>
      </w:r>
      <w:r>
        <w:t xml:space="preserve"> to 120 hours. There </w:t>
      </w:r>
      <w:r w:rsidR="00F33562">
        <w:t>may be</w:t>
      </w:r>
      <w:r>
        <w:t xml:space="preserve"> a loophole</w:t>
      </w:r>
      <w:r w:rsidR="003153F1">
        <w:t xml:space="preserve"> (exceptions)</w:t>
      </w:r>
      <w:r>
        <w:t xml:space="preserve"> for some BA’s. Some type of </w:t>
      </w:r>
      <w:r w:rsidR="00F33562">
        <w:t>caveat</w:t>
      </w:r>
      <w:r>
        <w:t xml:space="preserve"> will need to be set</w:t>
      </w:r>
      <w:r w:rsidR="003153F1">
        <w:t>, and this process will need to</w:t>
      </w:r>
      <w:r w:rsidR="00C043A5">
        <w:t xml:space="preserve"> go through departments/colleges. A conference call has been</w:t>
      </w:r>
      <w:r w:rsidR="003153F1">
        <w:t xml:space="preserve"> arranged </w:t>
      </w:r>
      <w:r w:rsidR="0068414D">
        <w:t>for all</w:t>
      </w:r>
      <w:r w:rsidR="00D2336B">
        <w:t xml:space="preserve"> </w:t>
      </w:r>
      <w:r w:rsidR="00C043A5">
        <w:t xml:space="preserve">provosts next week </w:t>
      </w:r>
      <w:r w:rsidR="003153F1">
        <w:t xml:space="preserve">in order to </w:t>
      </w:r>
      <w:r w:rsidR="00C043A5">
        <w:t xml:space="preserve">begin discussions. </w:t>
      </w:r>
      <w:r w:rsidR="003153F1">
        <w:t xml:space="preserve">ISU needs to start thinking about this. This is expected to go into effect by fall 2013. </w:t>
      </w:r>
      <w:r w:rsidR="00C043A5">
        <w:t xml:space="preserve"> </w:t>
      </w:r>
      <w:r w:rsidR="003153F1">
        <w:tab/>
      </w:r>
    </w:p>
    <w:p w:rsidR="00C043A5" w:rsidRDefault="00C043A5" w:rsidP="00A94B72">
      <w:pPr>
        <w:pStyle w:val="NoSpacing"/>
      </w:pPr>
      <w:r>
        <w:tab/>
      </w:r>
      <w:r>
        <w:tab/>
        <w:t>K. Bolinger:  Is there a universal definition of credit hour?</w:t>
      </w:r>
    </w:p>
    <w:p w:rsidR="00C043A5" w:rsidRDefault="00C043A5" w:rsidP="000D79C3">
      <w:pPr>
        <w:pStyle w:val="NoSpacing"/>
        <w:ind w:left="2160" w:firstLine="0"/>
      </w:pPr>
      <w:r>
        <w:t xml:space="preserve">Provost Maynard. There is. Think about intent which is will allow some ease in graduation. To put this in place requires an </w:t>
      </w:r>
      <w:proofErr w:type="gramStart"/>
      <w:r w:rsidR="004F647C">
        <w:t>extraordinary</w:t>
      </w:r>
      <w:r w:rsidR="00F33562">
        <w:t xml:space="preserve"> </w:t>
      </w:r>
      <w:r w:rsidR="004F647C">
        <w:t xml:space="preserve"> amount</w:t>
      </w:r>
      <w:proofErr w:type="gramEnd"/>
      <w:r w:rsidR="004F647C">
        <w:t xml:space="preserve"> of work for</w:t>
      </w:r>
      <w:r w:rsidR="000D79C3">
        <w:t xml:space="preserve"> everyone. We</w:t>
      </w:r>
      <w:r>
        <w:t xml:space="preserve"> </w:t>
      </w:r>
      <w:r w:rsidR="004F647C">
        <w:t xml:space="preserve">will </w:t>
      </w:r>
      <w:r>
        <w:t>need to decide</w:t>
      </w:r>
      <w:r w:rsidR="004F647C">
        <w:t xml:space="preserve"> </w:t>
      </w:r>
      <w:r>
        <w:t xml:space="preserve">if CAAC will be the body to do this or a special group. The Registrar office will be involved, the faculty governance process, etc.  </w:t>
      </w:r>
    </w:p>
    <w:p w:rsidR="00241B4B" w:rsidRDefault="00C043A5" w:rsidP="00D2336B">
      <w:pPr>
        <w:pStyle w:val="NoSpacing"/>
        <w:ind w:left="2160" w:hanging="720"/>
      </w:pPr>
      <w:r>
        <w:lastRenderedPageBreak/>
        <w:t>f.</w:t>
      </w:r>
      <w:r>
        <w:tab/>
        <w:t>We began conversations wi</w:t>
      </w:r>
      <w:r w:rsidR="009E7DE0">
        <w:t xml:space="preserve">th </w:t>
      </w:r>
      <w:proofErr w:type="spellStart"/>
      <w:r w:rsidR="009E7DE0">
        <w:t>IVYTech</w:t>
      </w:r>
      <w:proofErr w:type="spellEnd"/>
      <w:r w:rsidR="009E7DE0">
        <w:t xml:space="preserve"> several months ago about exploring a </w:t>
      </w:r>
      <w:proofErr w:type="gramStart"/>
      <w:r>
        <w:t xml:space="preserve">model </w:t>
      </w:r>
      <w:r w:rsidR="00D2336B">
        <w:t xml:space="preserve"> </w:t>
      </w:r>
      <w:r>
        <w:t>to</w:t>
      </w:r>
      <w:proofErr w:type="gramEnd"/>
      <w:r>
        <w:t xml:space="preserve"> teach </w:t>
      </w:r>
      <w:r w:rsidR="000D79C3">
        <w:t>d</w:t>
      </w:r>
      <w:r>
        <w:t xml:space="preserve">evelopmental </w:t>
      </w:r>
      <w:r w:rsidR="000D79C3">
        <w:t>m</w:t>
      </w:r>
      <w:r w:rsidR="009E7DE0">
        <w:t>athematics</w:t>
      </w:r>
      <w:r w:rsidR="004F647C">
        <w:t xml:space="preserve"> on </w:t>
      </w:r>
      <w:r w:rsidR="00AD15C4">
        <w:t xml:space="preserve">ISU’s </w:t>
      </w:r>
      <w:r w:rsidR="004F647C">
        <w:t>campus. ISU wil</w:t>
      </w:r>
      <w:r w:rsidR="00AD15C4">
        <w:t>l</w:t>
      </w:r>
      <w:r w:rsidR="004F647C">
        <w:t xml:space="preserve"> be allocating </w:t>
      </w:r>
      <w:r w:rsidR="00AD15C4">
        <w:t>classrooms and office spaces for this purpose.</w:t>
      </w:r>
      <w:r w:rsidR="004F647C">
        <w:t xml:space="preserve"> </w:t>
      </w:r>
      <w:r w:rsidR="004607D8">
        <w:t xml:space="preserve"> IVYTech </w:t>
      </w:r>
      <w:r w:rsidR="009E7DE0">
        <w:t xml:space="preserve">will hire two or three faculty members. </w:t>
      </w:r>
      <w:r w:rsidR="00AD15C4">
        <w:t xml:space="preserve">ISU </w:t>
      </w:r>
      <w:r w:rsidR="009E7DE0">
        <w:t>will pay them on a contractual</w:t>
      </w:r>
      <w:r w:rsidR="004607D8">
        <w:t xml:space="preserve"> </w:t>
      </w:r>
      <w:r w:rsidR="009E7DE0">
        <w:t xml:space="preserve">bases. We are </w:t>
      </w:r>
      <w:r w:rsidR="00AD15C4">
        <w:t xml:space="preserve">also </w:t>
      </w:r>
      <w:r w:rsidR="009E7DE0">
        <w:t xml:space="preserve">working with Dean John Murray and are very close to getting the details together.  </w:t>
      </w:r>
    </w:p>
    <w:p w:rsidR="004B09FD" w:rsidRDefault="004B09FD" w:rsidP="004B09FD">
      <w:pPr>
        <w:pStyle w:val="NoSpacing"/>
      </w:pPr>
      <w:r>
        <w:tab/>
      </w:r>
      <w:r w:rsidR="009E7DE0">
        <w:tab/>
        <w:t xml:space="preserve">R. Guell question to the provost:  Courses that have the </w:t>
      </w:r>
      <w:r w:rsidR="00F33562">
        <w:t>prerequisites</w:t>
      </w:r>
      <w:r w:rsidR="009E7DE0">
        <w:t xml:space="preserve">…how could you </w:t>
      </w:r>
      <w:r w:rsidR="009E7DE0">
        <w:tab/>
      </w:r>
      <w:r w:rsidR="009E7DE0">
        <w:tab/>
      </w:r>
      <w:r w:rsidR="009E7DE0">
        <w:tab/>
      </w:r>
      <w:r w:rsidR="009E7DE0">
        <w:tab/>
        <w:t xml:space="preserve">possibly say e.g. Math 131 has its prerequisite taking a course </w:t>
      </w:r>
      <w:r w:rsidR="002D6DA7">
        <w:t>at another institution.</w:t>
      </w:r>
    </w:p>
    <w:p w:rsidR="00354ECD" w:rsidRDefault="009E7DE0" w:rsidP="004B09FD">
      <w:pPr>
        <w:pStyle w:val="NoSpacing"/>
      </w:pPr>
      <w:r>
        <w:tab/>
      </w:r>
      <w:r>
        <w:tab/>
        <w:t xml:space="preserve">Provost:  We’re going to do this for one year and see how it works…what we’re doing is </w:t>
      </w:r>
      <w:r w:rsidR="00354ECD">
        <w:tab/>
      </w:r>
      <w:r w:rsidR="00354ECD">
        <w:tab/>
      </w:r>
      <w:r w:rsidR="00354ECD">
        <w:tab/>
      </w:r>
      <w:r w:rsidR="00354ECD">
        <w:tab/>
      </w:r>
      <w:r w:rsidR="00AD15C4">
        <w:t xml:space="preserve">kind of an experiment replacing one course number with another. If we are pleased with </w:t>
      </w:r>
      <w:r w:rsidR="00AD15C4">
        <w:tab/>
      </w:r>
      <w:r w:rsidR="00AD15C4">
        <w:tab/>
      </w:r>
      <w:r w:rsidR="00AD15C4">
        <w:tab/>
        <w:t xml:space="preserve">the process, we’ll suspend the old course numbers, and if not, we will go back to our </w:t>
      </w:r>
      <w:r w:rsidR="00AD15C4">
        <w:tab/>
      </w:r>
      <w:r w:rsidR="00AD15C4">
        <w:tab/>
      </w:r>
      <w:r w:rsidR="00AD15C4">
        <w:tab/>
      </w:r>
      <w:r w:rsidR="00AD15C4">
        <w:tab/>
        <w:t>original plan. We are proposing to do this on a one year basis and see how it works</w:t>
      </w:r>
      <w:r w:rsidR="00354ECD">
        <w:tab/>
      </w:r>
      <w:r w:rsidR="00354ECD">
        <w:tab/>
      </w:r>
      <w:r w:rsidR="00AD15C4">
        <w:tab/>
      </w:r>
      <w:r w:rsidR="00AD15C4">
        <w:tab/>
      </w:r>
      <w:r w:rsidR="00354ECD">
        <w:t>S. Lamb:  The state has mandated this?</w:t>
      </w:r>
    </w:p>
    <w:p w:rsidR="00354ECD" w:rsidRDefault="00354ECD" w:rsidP="00D2336B">
      <w:pPr>
        <w:pStyle w:val="NoSpacing"/>
        <w:ind w:left="2160" w:firstLine="0"/>
      </w:pPr>
      <w:r>
        <w:t>Provost Maynard.  Yes. The state has mandated this</w:t>
      </w:r>
      <w:r w:rsidR="002D6DA7">
        <w:t xml:space="preserve">. That is they recognize that </w:t>
      </w:r>
      <w:r>
        <w:t xml:space="preserve">we have to </w:t>
      </w:r>
      <w:r w:rsidR="002D6DA7">
        <w:t xml:space="preserve">make </w:t>
      </w:r>
      <w:r>
        <w:t>developmental courses</w:t>
      </w:r>
      <w:r w:rsidR="002D6DA7">
        <w:t xml:space="preserve"> available to students but we cannot be the ones to offer them</w:t>
      </w:r>
      <w:r>
        <w:t xml:space="preserve">. There will be </w:t>
      </w:r>
      <w:r w:rsidR="00F33562">
        <w:t>recognition</w:t>
      </w:r>
      <w:r>
        <w:t xml:space="preserve"> of our mission profile</w:t>
      </w:r>
      <w:r w:rsidR="00F33562">
        <w:t>.</w:t>
      </w:r>
      <w:r>
        <w:t xml:space="preserve"> </w:t>
      </w:r>
    </w:p>
    <w:p w:rsidR="00354ECD" w:rsidRDefault="00354ECD" w:rsidP="000D79C3">
      <w:pPr>
        <w:pStyle w:val="NoSpacing"/>
        <w:ind w:left="2160" w:firstLine="0"/>
      </w:pPr>
      <w:r>
        <w:t xml:space="preserve">R. Guell:  Will we know if the standard of treatment for the </w:t>
      </w:r>
      <w:r w:rsidR="000D79C3">
        <w:t>(</w:t>
      </w:r>
      <w:proofErr w:type="spellStart"/>
      <w:r w:rsidR="000D79C3">
        <w:t>Ivytech</w:t>
      </w:r>
      <w:proofErr w:type="spellEnd"/>
      <w:r w:rsidR="000D79C3">
        <w:t xml:space="preserve">) </w:t>
      </w:r>
      <w:r>
        <w:t xml:space="preserve">faculty adjuncts </w:t>
      </w:r>
      <w:proofErr w:type="gramStart"/>
      <w:r>
        <w:t>who</w:t>
      </w:r>
      <w:proofErr w:type="gramEnd"/>
      <w:r>
        <w:t xml:space="preserve"> will be doing it will be similar with regard to w</w:t>
      </w:r>
      <w:r w:rsidR="000D79C3">
        <w:t xml:space="preserve">hat ISU has done with salary </w:t>
      </w:r>
      <w:r>
        <w:t xml:space="preserve">and benefits? </w:t>
      </w:r>
    </w:p>
    <w:p w:rsidR="00354ECD" w:rsidRDefault="00354ECD" w:rsidP="004B09FD">
      <w:pPr>
        <w:pStyle w:val="NoSpacing"/>
      </w:pPr>
      <w:r>
        <w:tab/>
      </w:r>
      <w:r>
        <w:tab/>
        <w:t xml:space="preserve">Provost:  Yes. They’ll teach 15 hours…have office hours and will get benefits. They </w:t>
      </w:r>
      <w:r>
        <w:tab/>
      </w:r>
      <w:r>
        <w:tab/>
      </w:r>
      <w:r>
        <w:tab/>
      </w:r>
      <w:r>
        <w:tab/>
        <w:t>understand we want high quality faculty who want to teach.</w:t>
      </w:r>
    </w:p>
    <w:p w:rsidR="00F33562" w:rsidRDefault="00F33562" w:rsidP="004B09FD">
      <w:pPr>
        <w:pStyle w:val="NoSpacing"/>
      </w:pPr>
    </w:p>
    <w:p w:rsidR="00F33562" w:rsidRPr="00BC00F0" w:rsidRDefault="002D6DA7" w:rsidP="004B09FD">
      <w:pPr>
        <w:pStyle w:val="NoSpacing"/>
        <w:rPr>
          <w:color w:val="1F497D" w:themeColor="text2"/>
        </w:rPr>
      </w:pPr>
      <w:r>
        <w:t>II.</w:t>
      </w:r>
      <w:r>
        <w:tab/>
        <w:t>Chair report</w:t>
      </w:r>
      <w:r w:rsidR="00BC00F0" w:rsidRPr="00BC00F0">
        <w:rPr>
          <w:color w:val="1F497D" w:themeColor="text2"/>
        </w:rPr>
        <w:t xml:space="preserve">:  </w:t>
      </w:r>
      <w:r w:rsidRPr="00BC00F0">
        <w:rPr>
          <w:color w:val="1F497D" w:themeColor="text2"/>
        </w:rPr>
        <w:t xml:space="preserve"> No report</w:t>
      </w:r>
    </w:p>
    <w:p w:rsidR="00560AF8" w:rsidRDefault="00560AF8" w:rsidP="004B09FD">
      <w:pPr>
        <w:pStyle w:val="NoSpacing"/>
      </w:pPr>
    </w:p>
    <w:p w:rsidR="00560AF8" w:rsidRDefault="00560AF8" w:rsidP="004B09FD">
      <w:pPr>
        <w:pStyle w:val="NoSpacing"/>
      </w:pPr>
      <w:r>
        <w:t>III.</w:t>
      </w:r>
      <w:r>
        <w:tab/>
        <w:t>15 Minute Open Discussion</w:t>
      </w:r>
    </w:p>
    <w:p w:rsidR="00560AF8" w:rsidRDefault="00560AF8" w:rsidP="004B09FD">
      <w:pPr>
        <w:pStyle w:val="NoSpacing"/>
      </w:pPr>
      <w:r>
        <w:tab/>
        <w:t>a.</w:t>
      </w:r>
      <w:r>
        <w:tab/>
        <w:t xml:space="preserve">K. Bolinger:  Regarding reduction in total credits to 120, how would the 30 hour general </w:t>
      </w:r>
      <w:r>
        <w:tab/>
      </w:r>
      <w:r>
        <w:tab/>
      </w:r>
      <w:r>
        <w:tab/>
      </w:r>
      <w:r>
        <w:tab/>
        <w:t xml:space="preserve">core play in the reduction of hours strictly </w:t>
      </w:r>
      <w:r w:rsidR="00214B5B">
        <w:t xml:space="preserve">targeted </w:t>
      </w:r>
      <w:r>
        <w:t xml:space="preserve">out of </w:t>
      </w:r>
      <w:r w:rsidR="00214B5B">
        <w:t xml:space="preserve">commission </w:t>
      </w:r>
      <w:r>
        <w:t>studies?</w:t>
      </w:r>
    </w:p>
    <w:p w:rsidR="00560AF8" w:rsidRDefault="00560AF8" w:rsidP="004B09FD">
      <w:pPr>
        <w:pStyle w:val="NoSpacing"/>
      </w:pPr>
      <w:r>
        <w:tab/>
      </w:r>
      <w:r>
        <w:tab/>
        <w:t xml:space="preserve">Provost:  </w:t>
      </w:r>
      <w:r w:rsidR="002D6DA7">
        <w:t>Our program is n</w:t>
      </w:r>
      <w:r>
        <w:t>ever less than 40</w:t>
      </w:r>
      <w:r w:rsidR="000D79C3">
        <w:t>.</w:t>
      </w:r>
      <w:r w:rsidR="002D6DA7">
        <w:t xml:space="preserve"> </w:t>
      </w:r>
      <w:r w:rsidR="000D79C3">
        <w:t>T</w:t>
      </w:r>
      <w:r w:rsidR="002D6DA7">
        <w:t>he 30</w:t>
      </w:r>
      <w:r>
        <w:t xml:space="preserve"> hour transfer courses would remain.</w:t>
      </w:r>
    </w:p>
    <w:p w:rsidR="00560AF8" w:rsidRDefault="00560AF8" w:rsidP="004B09FD">
      <w:pPr>
        <w:pStyle w:val="NoSpacing"/>
      </w:pPr>
      <w:r>
        <w:tab/>
      </w:r>
      <w:r>
        <w:tab/>
        <w:t xml:space="preserve">K. Bolinger:  You would have to know what was in that 30 hour transfer core before you </w:t>
      </w:r>
      <w:r>
        <w:tab/>
      </w:r>
      <w:r>
        <w:tab/>
      </w:r>
      <w:r>
        <w:tab/>
      </w:r>
      <w:r>
        <w:tab/>
        <w:t xml:space="preserve">could target them anything. </w:t>
      </w:r>
    </w:p>
    <w:p w:rsidR="00560AF8" w:rsidRDefault="00560AF8" w:rsidP="00D2336B">
      <w:pPr>
        <w:pStyle w:val="NoSpacing"/>
        <w:ind w:left="2160" w:firstLine="0"/>
      </w:pPr>
      <w:r>
        <w:t xml:space="preserve">R. Guell:  What is likely to happen is that 30 goes to specific </w:t>
      </w:r>
      <w:r w:rsidR="002D6DA7">
        <w:t>“</w:t>
      </w:r>
      <w:r>
        <w:t>ways of knowing</w:t>
      </w:r>
      <w:r w:rsidR="002D6DA7">
        <w:t>”</w:t>
      </w:r>
      <w:r>
        <w:t xml:space="preserve"> that we will</w:t>
      </w:r>
      <w:r w:rsidR="002D6DA7">
        <w:t xml:space="preserve"> </w:t>
      </w:r>
      <w:r>
        <w:t xml:space="preserve">be able to maintain the </w:t>
      </w:r>
      <w:r w:rsidR="002D6DA7">
        <w:t>“</w:t>
      </w:r>
      <w:r>
        <w:t>ethic</w:t>
      </w:r>
      <w:r w:rsidR="002D6DA7">
        <w:t>s</w:t>
      </w:r>
      <w:r>
        <w:t xml:space="preserve"> and social responsibility</w:t>
      </w:r>
      <w:r w:rsidR="002D6DA7">
        <w:t>” requirement</w:t>
      </w:r>
      <w:r>
        <w:t xml:space="preserve"> th</w:t>
      </w:r>
      <w:r w:rsidR="00D2336B">
        <w:t xml:space="preserve">at is part of our mission with </w:t>
      </w:r>
      <w:r>
        <w:t xml:space="preserve">regard to community engagement, experiential learning. We have 9 hours of the </w:t>
      </w:r>
      <w:r w:rsidR="002D6DA7">
        <w:t>“</w:t>
      </w:r>
      <w:r>
        <w:t>upper division</w:t>
      </w:r>
      <w:r w:rsidR="002D6DA7">
        <w:t xml:space="preserve"> integrative</w:t>
      </w:r>
      <w:r>
        <w:t xml:space="preserve"> electives.</w:t>
      </w:r>
      <w:r w:rsidR="002D6DA7">
        <w:t xml:space="preserve">” </w:t>
      </w:r>
      <w:r>
        <w:t xml:space="preserve"> The Foundational</w:t>
      </w:r>
      <w:r w:rsidR="002D6DA7">
        <w:t xml:space="preserve"> Studies</w:t>
      </w:r>
      <w:r>
        <w:t xml:space="preserve"> Council has </w:t>
      </w:r>
      <w:r w:rsidR="002D6DA7">
        <w:t>in</w:t>
      </w:r>
      <w:r>
        <w:t>formally figured that we would be ask</w:t>
      </w:r>
      <w:r w:rsidR="00C5425D">
        <w:t>ed</w:t>
      </w:r>
      <w:r>
        <w:t xml:space="preserve"> to </w:t>
      </w:r>
      <w:r w:rsidR="002D6DA7">
        <w:t xml:space="preserve">reduce that </w:t>
      </w:r>
      <w:r>
        <w:t>from 9 to 6</w:t>
      </w:r>
      <w:r w:rsidR="002D6DA7">
        <w:t>.</w:t>
      </w:r>
      <w:r>
        <w:t xml:space="preserve"> </w:t>
      </w:r>
    </w:p>
    <w:p w:rsidR="00560AF8" w:rsidRDefault="00560AF8" w:rsidP="004B09FD">
      <w:pPr>
        <w:pStyle w:val="NoSpacing"/>
      </w:pPr>
      <w:r>
        <w:tab/>
      </w:r>
      <w:r>
        <w:tab/>
        <w:t xml:space="preserve">Provost:  In many ways this helps student flexibility though </w:t>
      </w:r>
      <w:r w:rsidR="003B3EF0">
        <w:t>there</w:t>
      </w:r>
      <w:r>
        <w:t xml:space="preserve"> may be problems when </w:t>
      </w:r>
      <w:r>
        <w:tab/>
      </w:r>
      <w:r>
        <w:tab/>
      </w:r>
      <w:r>
        <w:tab/>
        <w:t xml:space="preserve">students make a decision to go from say </w:t>
      </w:r>
      <w:r w:rsidR="00214B5B">
        <w:t xml:space="preserve">Accounting to Sociology - then there would be a </w:t>
      </w:r>
      <w:r w:rsidR="00214B5B">
        <w:tab/>
      </w:r>
      <w:r w:rsidR="00214B5B">
        <w:tab/>
      </w:r>
      <w:r w:rsidR="00214B5B">
        <w:tab/>
      </w:r>
      <w:r>
        <w:t>wh</w:t>
      </w:r>
      <w:r w:rsidR="00214B5B">
        <w:t xml:space="preserve">ole new set of rules in place…(there is not flexibility in the curriculum) </w:t>
      </w:r>
    </w:p>
    <w:p w:rsidR="00214B5B" w:rsidRDefault="00214B5B" w:rsidP="00D2336B">
      <w:pPr>
        <w:pStyle w:val="NoSpacing"/>
        <w:ind w:left="2160" w:firstLine="0"/>
      </w:pPr>
      <w:r>
        <w:t>R. Guell:  It’s the</w:t>
      </w:r>
      <w:r w:rsidR="002D6DA7">
        <w:t xml:space="preserve"> </w:t>
      </w:r>
      <w:r>
        <w:t>majors that</w:t>
      </w:r>
      <w:r w:rsidR="002D6DA7">
        <w:t xml:space="preserve"> are highly sequential where you</w:t>
      </w:r>
      <w:r>
        <w:t xml:space="preserve"> don't get on the railroad track early, </w:t>
      </w:r>
      <w:r w:rsidR="002D6DA7">
        <w:t xml:space="preserve">you will never graduate on time. </w:t>
      </w:r>
      <w:r>
        <w:t xml:space="preserve"> </w:t>
      </w:r>
    </w:p>
    <w:p w:rsidR="00C5425D" w:rsidRPr="005A27BD" w:rsidRDefault="00C5425D" w:rsidP="00D2336B">
      <w:pPr>
        <w:pStyle w:val="NoSpacing"/>
        <w:ind w:left="2160" w:hanging="720"/>
        <w:rPr>
          <w:color w:val="C0504D" w:themeColor="accent2"/>
        </w:rPr>
      </w:pPr>
      <w:proofErr w:type="gramStart"/>
      <w:r>
        <w:t>b</w:t>
      </w:r>
      <w:proofErr w:type="gramEnd"/>
      <w:r>
        <w:t>.</w:t>
      </w:r>
      <w:r>
        <w:tab/>
      </w:r>
      <w:r w:rsidR="00D2336B">
        <w:t xml:space="preserve">C. MacDonald: </w:t>
      </w:r>
      <w:r>
        <w:t xml:space="preserve">Regarding Faculty Recognition Awards dinner being moved </w:t>
      </w:r>
      <w:r w:rsidR="00D2336B">
        <w:t xml:space="preserve">to April 17…we might want to </w:t>
      </w:r>
      <w:r>
        <w:t>look at Executive Committee meetings for the spring. I noticed on the original schedule that we are sch</w:t>
      </w:r>
      <w:r w:rsidR="00F875F2">
        <w:t xml:space="preserve">eduled to meet on spring break? </w:t>
      </w:r>
      <w:r>
        <w:t xml:space="preserve"> </w:t>
      </w:r>
    </w:p>
    <w:p w:rsidR="008266B5" w:rsidRDefault="00C5425D" w:rsidP="008266B5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  <w:t>B. Kilp:  Among all the problems in edu</w:t>
      </w:r>
      <w:r w:rsidR="00F875F2">
        <w:t>cation</w:t>
      </w:r>
      <w:r w:rsidR="005A27BD">
        <w:t xml:space="preserve"> as far as outcomes </w:t>
      </w:r>
      <w:r w:rsidR="00F875F2">
        <w:t xml:space="preserve"> is the </w:t>
      </w:r>
      <w:r w:rsidR="00F875F2" w:rsidRPr="005A27BD">
        <w:rPr>
          <w:u w:val="single"/>
        </w:rPr>
        <w:t>constant</w:t>
      </w:r>
      <w:r w:rsidRPr="005A27BD">
        <w:rPr>
          <w:u w:val="single"/>
        </w:rPr>
        <w:t xml:space="preserve"> </w:t>
      </w:r>
      <w:r>
        <w:t xml:space="preserve">cutting </w:t>
      </w:r>
      <w:r w:rsidR="005A27BD">
        <w:tab/>
      </w:r>
      <w:r w:rsidR="005A27BD">
        <w:tab/>
      </w:r>
      <w:r w:rsidR="005A27BD">
        <w:tab/>
      </w:r>
      <w:r w:rsidR="005A27BD">
        <w:tab/>
      </w:r>
      <w:r>
        <w:t>back of content</w:t>
      </w:r>
      <w:r w:rsidR="00091CEF">
        <w:tab/>
      </w:r>
      <w:r>
        <w:t xml:space="preserve">knowledge. </w:t>
      </w:r>
      <w:r w:rsidR="00F875F2">
        <w:t xml:space="preserve">Cutting content causes problems and why </w:t>
      </w:r>
      <w:r w:rsidR="008266B5">
        <w:t xml:space="preserve">ISU </w:t>
      </w:r>
      <w:r w:rsidR="00F875F2">
        <w:t>see</w:t>
      </w:r>
      <w:r w:rsidR="008266B5">
        <w:t xml:space="preserve">s itself </w:t>
      </w:r>
      <w:r w:rsidR="00F875F2">
        <w:t xml:space="preserve">in </w:t>
      </w:r>
      <w:r w:rsidR="005A27BD">
        <w:tab/>
      </w:r>
      <w:r w:rsidR="005A27BD">
        <w:tab/>
      </w:r>
      <w:r w:rsidR="005A27BD">
        <w:tab/>
      </w:r>
      <w:r w:rsidR="005A27BD">
        <w:tab/>
      </w:r>
      <w:r w:rsidR="00F875F2">
        <w:t xml:space="preserve">our present </w:t>
      </w:r>
      <w:r w:rsidR="005A27BD">
        <w:t>predicaments.</w:t>
      </w:r>
      <w:r w:rsidR="00F875F2">
        <w:t xml:space="preserve">  </w:t>
      </w:r>
      <w:r w:rsidR="008266B5">
        <w:t>ISU f</w:t>
      </w:r>
      <w:r w:rsidR="00F875F2">
        <w:t>eel</w:t>
      </w:r>
      <w:r w:rsidR="008266B5">
        <w:t>s</w:t>
      </w:r>
      <w:r w:rsidR="00F875F2">
        <w:t xml:space="preserve"> there are </w:t>
      </w:r>
      <w:r>
        <w:t xml:space="preserve">central elements </w:t>
      </w:r>
      <w:r w:rsidR="00D2336B">
        <w:t>musicians</w:t>
      </w:r>
      <w:r>
        <w:t xml:space="preserve"> need to know </w:t>
      </w:r>
      <w:r w:rsidR="00D2336B">
        <w:tab/>
      </w:r>
      <w:r w:rsidR="00D2336B">
        <w:tab/>
      </w:r>
      <w:r w:rsidR="00D2336B">
        <w:tab/>
      </w:r>
      <w:r>
        <w:t>(whether or not they are teachers or performers) so instead of cutting</w:t>
      </w:r>
      <w:r w:rsidR="008266B5">
        <w:t>,</w:t>
      </w:r>
      <w:r>
        <w:t xml:space="preserve"> we reduced the </w:t>
      </w:r>
      <w:r w:rsidR="005A27BD">
        <w:tab/>
      </w:r>
      <w:r w:rsidR="005A27BD">
        <w:tab/>
      </w:r>
      <w:r w:rsidR="005A27BD">
        <w:tab/>
      </w:r>
      <w:r w:rsidR="005A27BD">
        <w:tab/>
      </w:r>
      <w:r>
        <w:t xml:space="preserve">amount of hours that it was worth (same as when I was an undergrad) and one would say </w:t>
      </w:r>
      <w:r w:rsidR="005A27BD">
        <w:tab/>
      </w:r>
      <w:r w:rsidR="005A27BD">
        <w:tab/>
      </w:r>
      <w:r w:rsidR="005A27BD">
        <w:tab/>
      </w:r>
      <w:r>
        <w:t xml:space="preserve">that that’s the way it </w:t>
      </w:r>
      <w:r w:rsidR="00D43915">
        <w:t xml:space="preserve">is, etc. etc. </w:t>
      </w:r>
      <w:r>
        <w:t xml:space="preserve">if one was a Music major. </w:t>
      </w:r>
      <w:r w:rsidR="00F875F2">
        <w:t>E</w:t>
      </w:r>
      <w:r>
        <w:t xml:space="preserve">verything we do </w:t>
      </w:r>
      <w:r w:rsidR="00F875F2">
        <w:t xml:space="preserve">here is </w:t>
      </w:r>
      <w:r w:rsidR="00D43915">
        <w:tab/>
      </w:r>
      <w:r w:rsidR="00D43915">
        <w:tab/>
      </w:r>
      <w:r w:rsidR="00D43915">
        <w:tab/>
      </w:r>
      <w:r w:rsidR="00D43915">
        <w:tab/>
      </w:r>
      <w:r w:rsidR="00F875F2">
        <w:t>c</w:t>
      </w:r>
      <w:r>
        <w:t xml:space="preserve">ompared across </w:t>
      </w:r>
      <w:r w:rsidR="008266B5">
        <w:t xml:space="preserve">disciplines as if </w:t>
      </w:r>
      <w:r>
        <w:t xml:space="preserve">everything we do is the same. We have to have 120 </w:t>
      </w:r>
      <w:r w:rsidR="00D43915">
        <w:tab/>
      </w:r>
      <w:r w:rsidR="00D43915">
        <w:tab/>
      </w:r>
      <w:r w:rsidR="00D43915">
        <w:tab/>
      </w:r>
      <w:r w:rsidR="00D43915">
        <w:tab/>
      </w:r>
      <w:r>
        <w:t>hours…where</w:t>
      </w:r>
      <w:r w:rsidR="00D43915">
        <w:t>as</w:t>
      </w:r>
      <w:r>
        <w:t xml:space="preserve"> one particular major doesn’t need that many hours though some may </w:t>
      </w:r>
      <w:r w:rsidR="00D43915">
        <w:tab/>
      </w:r>
      <w:r w:rsidR="00D43915">
        <w:tab/>
      </w:r>
      <w:r w:rsidR="00D43915">
        <w:tab/>
      </w:r>
      <w:r w:rsidR="00D43915">
        <w:tab/>
      </w:r>
      <w:r>
        <w:t>need more because</w:t>
      </w:r>
      <w:r w:rsidR="00D43915">
        <w:t xml:space="preserve"> </w:t>
      </w:r>
      <w:r w:rsidR="00F875F2">
        <w:t xml:space="preserve">of the </w:t>
      </w:r>
      <w:proofErr w:type="gramStart"/>
      <w:r w:rsidR="00F875F2">
        <w:t xml:space="preserve">content  </w:t>
      </w:r>
      <w:r>
        <w:t>–</w:t>
      </w:r>
      <w:proofErr w:type="gramEnd"/>
      <w:r>
        <w:t xml:space="preserve"> the way </w:t>
      </w:r>
      <w:r w:rsidR="00F875F2">
        <w:t xml:space="preserve">faculty need to </w:t>
      </w:r>
      <w:r>
        <w:t>do their job</w:t>
      </w:r>
      <w:r w:rsidR="008266B5">
        <w:t>(s)</w:t>
      </w:r>
      <w:r>
        <w:t xml:space="preserve"> is different.  </w:t>
      </w:r>
      <w:r w:rsidR="00D43915">
        <w:tab/>
      </w:r>
      <w:r w:rsidR="00D43915">
        <w:tab/>
      </w:r>
      <w:r w:rsidR="00D43915">
        <w:tab/>
      </w:r>
      <w:r>
        <w:t>So</w:t>
      </w:r>
      <w:r w:rsidR="00F875F2">
        <w:t>,</w:t>
      </w:r>
      <w:r>
        <w:t xml:space="preserve"> if we are going to</w:t>
      </w:r>
      <w:r w:rsidR="00D43915">
        <w:t xml:space="preserve"> </w:t>
      </w:r>
      <w:r>
        <w:t>mandator</w:t>
      </w:r>
      <w:r w:rsidR="008266B5">
        <w:t>il</w:t>
      </w:r>
      <w:r>
        <w:t xml:space="preserve">y tell someone to cut something without having a </w:t>
      </w:r>
      <w:r w:rsidR="00D43915">
        <w:tab/>
      </w:r>
      <w:r w:rsidR="00D43915">
        <w:lastRenderedPageBreak/>
        <w:tab/>
      </w:r>
      <w:r w:rsidR="00D43915">
        <w:tab/>
      </w:r>
      <w:r w:rsidR="00D43915">
        <w:tab/>
      </w:r>
      <w:r>
        <w:t>discussion about what that means – this is forcin</w:t>
      </w:r>
      <w:r w:rsidR="00F875F2">
        <w:t xml:space="preserve">g us into more and more </w:t>
      </w:r>
      <w:r w:rsidR="003B3EF0">
        <w:t>mediocrity</w:t>
      </w:r>
      <w:r w:rsidR="00F875F2">
        <w:t>.</w:t>
      </w:r>
      <w:r w:rsidR="00091CEF">
        <w:t xml:space="preserve">  All </w:t>
      </w:r>
      <w:r w:rsidR="00D43915">
        <w:tab/>
      </w:r>
      <w:r w:rsidR="00D43915">
        <w:tab/>
      </w:r>
      <w:r w:rsidR="00D43915">
        <w:tab/>
      </w:r>
      <w:r w:rsidR="00091CEF">
        <w:t>we are doing</w:t>
      </w:r>
      <w:r w:rsidR="00D43915">
        <w:t xml:space="preserve"> </w:t>
      </w:r>
      <w:r w:rsidR="00091CEF">
        <w:t xml:space="preserve">with </w:t>
      </w:r>
      <w:r w:rsidR="00091CEF" w:rsidRPr="003B3EF0">
        <w:rPr>
          <w:i/>
        </w:rPr>
        <w:t>Student Success</w:t>
      </w:r>
      <w:r w:rsidR="00091CEF">
        <w:t xml:space="preserve"> and bring</w:t>
      </w:r>
      <w:r w:rsidR="008266B5">
        <w:t>ing</w:t>
      </w:r>
      <w:r w:rsidR="00091CEF">
        <w:t xml:space="preserve"> back students</w:t>
      </w:r>
      <w:r w:rsidR="008266B5">
        <w:t xml:space="preserve"> is </w:t>
      </w:r>
      <w:r w:rsidR="00091CEF">
        <w:t>having my</w:t>
      </w:r>
      <w:r w:rsidR="008266B5">
        <w:t xml:space="preserve"> (Music)</w:t>
      </w:r>
      <w:r w:rsidR="00091CEF">
        <w:t xml:space="preserve"> 4.0 </w:t>
      </w:r>
      <w:r w:rsidR="00D43915">
        <w:tab/>
      </w:r>
      <w:r w:rsidR="00D43915">
        <w:tab/>
      </w:r>
      <w:r w:rsidR="00D43915">
        <w:tab/>
      </w:r>
      <w:r w:rsidR="00D43915">
        <w:tab/>
      </w:r>
      <w:r w:rsidR="00091CEF">
        <w:t>and 3.5 students leave</w:t>
      </w:r>
      <w:r w:rsidR="003B3EF0">
        <w:t xml:space="preserve"> </w:t>
      </w:r>
      <w:r w:rsidR="00D43915">
        <w:t>because they do not</w:t>
      </w:r>
      <w:r w:rsidR="00091CEF">
        <w:t xml:space="preserve"> want to be surrounded by people with </w:t>
      </w:r>
      <w:r w:rsidR="008266B5">
        <w:t xml:space="preserve">zero </w:t>
      </w:r>
      <w:r w:rsidR="00D43915">
        <w:tab/>
      </w:r>
      <w:r w:rsidR="00D43915">
        <w:tab/>
      </w:r>
      <w:r w:rsidR="00D43915">
        <w:tab/>
      </w:r>
      <w:r w:rsidR="00D43915">
        <w:tab/>
      </w:r>
      <w:r w:rsidR="008266B5">
        <w:t>g</w:t>
      </w:r>
      <w:r w:rsidR="00091CEF">
        <w:t>rade point averages</w:t>
      </w:r>
      <w:r w:rsidR="008266B5">
        <w:t>;</w:t>
      </w:r>
      <w:r w:rsidR="00091CEF">
        <w:t xml:space="preserve"> why we have the reputation that we do</w:t>
      </w:r>
      <w:r w:rsidR="008266B5">
        <w:t>;</w:t>
      </w:r>
      <w:r w:rsidR="00091CEF">
        <w:t xml:space="preserve"> and why I just lost another </w:t>
      </w:r>
      <w:r w:rsidR="00D43915">
        <w:tab/>
      </w:r>
      <w:r w:rsidR="00D43915">
        <w:tab/>
      </w:r>
      <w:r w:rsidR="00D43915">
        <w:tab/>
      </w:r>
      <w:r w:rsidR="00091CEF">
        <w:t>top student</w:t>
      </w:r>
      <w:r w:rsidR="008266B5">
        <w:t xml:space="preserve"> because he </w:t>
      </w:r>
      <w:r w:rsidR="00D43915">
        <w:t>received</w:t>
      </w:r>
      <w:r w:rsidR="00091CEF">
        <w:t xml:space="preserve"> </w:t>
      </w:r>
      <w:r w:rsidR="00D43915">
        <w:t>a better scholarship offer,</w:t>
      </w:r>
      <w:r w:rsidR="00091CEF">
        <w:t xml:space="preserve"> and</w:t>
      </w:r>
      <w:r w:rsidR="00D43915">
        <w:t xml:space="preserve"> ISU</w:t>
      </w:r>
      <w:r w:rsidR="00091CEF">
        <w:t xml:space="preserve"> only offered $2,000. </w:t>
      </w:r>
      <w:r w:rsidR="00F87BED">
        <w:tab/>
      </w:r>
      <w:r w:rsidR="00F87BED">
        <w:tab/>
      </w:r>
      <w:r w:rsidR="00F87BED">
        <w:tab/>
      </w:r>
      <w:r w:rsidR="00091CEF">
        <w:t xml:space="preserve">We are </w:t>
      </w:r>
      <w:r w:rsidR="00091CEF" w:rsidRPr="003B3EF0">
        <w:rPr>
          <w:u w:val="single"/>
        </w:rPr>
        <w:t>not</w:t>
      </w:r>
      <w:r w:rsidR="00091CEF">
        <w:t xml:space="preserve"> going to improve our image by doing this. We solve one problem and don’t </w:t>
      </w:r>
      <w:r w:rsidR="00F87BED">
        <w:tab/>
      </w:r>
      <w:r w:rsidR="00F87BED">
        <w:tab/>
      </w:r>
      <w:r w:rsidR="00F87BED">
        <w:tab/>
      </w:r>
      <w:r w:rsidR="00F87BED">
        <w:tab/>
      </w:r>
      <w:r w:rsidR="00091CEF">
        <w:t xml:space="preserve">look at </w:t>
      </w:r>
      <w:r w:rsidR="008266B5">
        <w:t>wha</w:t>
      </w:r>
      <w:r w:rsidR="003B3EF0">
        <w:t xml:space="preserve">t the implications are </w:t>
      </w:r>
      <w:r w:rsidR="00D43915">
        <w:t xml:space="preserve">– thus, </w:t>
      </w:r>
      <w:r w:rsidR="003B3EF0">
        <w:t>o</w:t>
      </w:r>
      <w:r w:rsidR="008266B5">
        <w:t xml:space="preserve">ne problem begins to create another. </w:t>
      </w:r>
      <w:r w:rsidR="00091CEF">
        <w:t xml:space="preserve">We are </w:t>
      </w:r>
      <w:r w:rsidR="00F87BED">
        <w:tab/>
      </w:r>
      <w:r w:rsidR="00F87BED">
        <w:tab/>
      </w:r>
      <w:r w:rsidR="00F87BED">
        <w:tab/>
      </w:r>
      <w:r w:rsidR="00F87BED">
        <w:tab/>
      </w:r>
      <w:r w:rsidR="00091CEF" w:rsidRPr="003B3EF0">
        <w:rPr>
          <w:u w:val="single"/>
        </w:rPr>
        <w:t>never</w:t>
      </w:r>
      <w:r w:rsidR="00F87BED">
        <w:t xml:space="preserve"> </w:t>
      </w:r>
      <w:r w:rsidR="00091CEF">
        <w:t xml:space="preserve">looking at </w:t>
      </w:r>
      <w:r w:rsidR="00091CEF" w:rsidRPr="008266B5">
        <w:rPr>
          <w:u w:val="single"/>
        </w:rPr>
        <w:t>the</w:t>
      </w:r>
      <w:r w:rsidR="00F87BED">
        <w:rPr>
          <w:u w:val="single"/>
        </w:rPr>
        <w:t xml:space="preserve"> </w:t>
      </w:r>
      <w:r w:rsidR="00091CEF" w:rsidRPr="008266B5">
        <w:rPr>
          <w:u w:val="single"/>
        </w:rPr>
        <w:t>whole</w:t>
      </w:r>
      <w:r w:rsidR="00091CEF">
        <w:t xml:space="preserve"> picture</w:t>
      </w:r>
      <w:r w:rsidR="008266B5">
        <w:t xml:space="preserve"> (e.g. problem with grade point average). </w:t>
      </w:r>
    </w:p>
    <w:p w:rsidR="004B09FD" w:rsidRDefault="008266B5" w:rsidP="008266B5">
      <w:pPr>
        <w:pStyle w:val="NoSpacing"/>
      </w:pPr>
      <w:r>
        <w:tab/>
      </w:r>
      <w:r w:rsidR="00091CEF">
        <w:tab/>
        <w:t xml:space="preserve">S. Lamb:  I like your view especially about removal of content. I do see that happening in </w:t>
      </w:r>
      <w:r w:rsidR="00091CEF">
        <w:tab/>
      </w:r>
      <w:r w:rsidR="00091CEF">
        <w:tab/>
      </w:r>
      <w:r w:rsidR="00091CEF">
        <w:tab/>
        <w:t xml:space="preserve">one discipline after the other…removing the rigor. </w:t>
      </w:r>
      <w:r w:rsidR="00D43915">
        <w:t xml:space="preserve"> At times,</w:t>
      </w:r>
      <w:r w:rsidR="00F87BED">
        <w:t xml:space="preserve"> i</w:t>
      </w:r>
      <w:r w:rsidR="00091CEF">
        <w:t xml:space="preserve">t’s too much for our </w:t>
      </w:r>
      <w:r w:rsidR="00D43915">
        <w:tab/>
      </w:r>
      <w:r w:rsidR="00D43915">
        <w:tab/>
      </w:r>
      <w:r w:rsidR="00D43915">
        <w:tab/>
      </w:r>
      <w:r w:rsidR="00D43915">
        <w:tab/>
      </w:r>
      <w:r w:rsidR="00091CEF">
        <w:t>students to handle (e.g. linear programs now handle by computer</w:t>
      </w:r>
      <w:r w:rsidR="00D43915">
        <w:t>s</w:t>
      </w:r>
      <w:r w:rsidR="00091CEF">
        <w:t xml:space="preserve">).  If you don’t have the </w:t>
      </w:r>
      <w:r w:rsidR="00091CEF">
        <w:tab/>
      </w:r>
      <w:r w:rsidR="00091CEF">
        <w:tab/>
      </w:r>
      <w:r w:rsidR="00D43915">
        <w:tab/>
      </w:r>
      <w:r w:rsidR="00091CEF">
        <w:t xml:space="preserve">understanding, you don’t have the love, and if you don’t have the love, it is not your </w:t>
      </w:r>
      <w:r w:rsidR="00091CEF">
        <w:tab/>
      </w:r>
      <w:r w:rsidR="00091CEF">
        <w:tab/>
      </w:r>
      <w:r w:rsidR="00091CEF">
        <w:tab/>
      </w:r>
      <w:r w:rsidR="00091CEF">
        <w:tab/>
        <w:t>discipline. To me</w:t>
      </w:r>
      <w:r w:rsidR="00D43915">
        <w:t>,</w:t>
      </w:r>
      <w:r w:rsidR="00091CEF">
        <w:t xml:space="preserve"> it’s sad.  </w:t>
      </w:r>
    </w:p>
    <w:p w:rsidR="003B3EF0" w:rsidRDefault="003B3EF0" w:rsidP="008266B5">
      <w:pPr>
        <w:pStyle w:val="NoSpacing"/>
      </w:pPr>
    </w:p>
    <w:p w:rsidR="00091CEF" w:rsidRDefault="00F875F2" w:rsidP="004B09FD">
      <w:r>
        <w:t>IV.</w:t>
      </w:r>
      <w:r>
        <w:tab/>
      </w:r>
      <w:r w:rsidRPr="00F875F2">
        <w:rPr>
          <w:b/>
        </w:rPr>
        <w:t>MOVE TO APPROVE</w:t>
      </w:r>
      <w:r>
        <w:t xml:space="preserve"> The Executive Committee Minutes of January 24, 2012.  </w:t>
      </w:r>
      <w:r w:rsidR="008E7A8E">
        <w:t xml:space="preserve">(T. Sawyer/J. </w:t>
      </w:r>
      <w:r w:rsidR="008E7A8E">
        <w:tab/>
      </w:r>
      <w:r w:rsidR="008E7A8E">
        <w:tab/>
      </w:r>
      <w:r w:rsidR="008E7A8E">
        <w:tab/>
        <w:t>Kuhlman 8-0-1.</w:t>
      </w:r>
    </w:p>
    <w:p w:rsidR="003B3EF0" w:rsidRDefault="00F87BED" w:rsidP="004B09FD">
      <w:r>
        <w:t>V.</w:t>
      </w:r>
      <w:r>
        <w:tab/>
        <w:t xml:space="preserve">FAC concerns, </w:t>
      </w:r>
      <w:r w:rsidR="003B3EF0">
        <w:t>J. West – presented rational</w:t>
      </w:r>
      <w:r>
        <w:t xml:space="preserve"> of following charges</w:t>
      </w:r>
      <w:r w:rsidR="003B3EF0">
        <w:t>.</w:t>
      </w:r>
      <w:r w:rsidR="00F76AB8">
        <w:t xml:space="preserve"> Discussion</w:t>
      </w:r>
    </w:p>
    <w:p w:rsidR="00F87BED" w:rsidRPr="00F87BED" w:rsidRDefault="00F87BED" w:rsidP="00F87BED">
      <w:pPr>
        <w:rPr>
          <w:color w:val="000000" w:themeColor="text1"/>
        </w:rPr>
      </w:pPr>
      <w:r>
        <w:tab/>
      </w:r>
      <w:r w:rsidRPr="00F87BED">
        <w:rPr>
          <w:color w:val="000000" w:themeColor="text1"/>
        </w:rPr>
        <w:t xml:space="preserve">In regards to FAC Charge 3, revision of a previous recommendation </w:t>
      </w:r>
    </w:p>
    <w:p w:rsidR="00F87BED" w:rsidRPr="009738C6" w:rsidRDefault="00F87BED" w:rsidP="00F87BED">
      <w:pPr>
        <w:rPr>
          <w:color w:val="000000" w:themeColor="text1"/>
          <w:u w:val="single"/>
        </w:rPr>
      </w:pPr>
      <w:r>
        <w:rPr>
          <w:color w:val="FF0000"/>
        </w:rPr>
        <w:tab/>
      </w:r>
      <w:r w:rsidRPr="009738C6">
        <w:rPr>
          <w:color w:val="000000" w:themeColor="text1"/>
          <w:u w:val="single"/>
        </w:rPr>
        <w:t xml:space="preserve">Charge 3 </w:t>
      </w:r>
      <w:proofErr w:type="gramStart"/>
      <w:r w:rsidRPr="009738C6">
        <w:rPr>
          <w:color w:val="000000" w:themeColor="text1"/>
          <w:u w:val="single"/>
        </w:rPr>
        <w:t>E-SIR</w:t>
      </w:r>
      <w:proofErr w:type="gramEnd"/>
    </w:p>
    <w:p w:rsidR="00F87BED" w:rsidRPr="0042000A" w:rsidRDefault="00F87BED" w:rsidP="00F87BED">
      <w:pPr>
        <w:ind w:left="720"/>
        <w:rPr>
          <w:color w:val="FF0000"/>
        </w:rPr>
      </w:pPr>
      <w:r>
        <w:rPr>
          <w:color w:val="FF0000"/>
        </w:rPr>
        <w:tab/>
      </w:r>
      <w:r w:rsidRPr="0042000A">
        <w:rPr>
          <w:color w:val="FF0000"/>
        </w:rPr>
        <w:t xml:space="preserve">Review results of on-line course evaluation system (E-SIR) and make recommendations for </w:t>
      </w:r>
      <w:r>
        <w:rPr>
          <w:color w:val="FF0000"/>
        </w:rPr>
        <w:tab/>
      </w:r>
      <w:r w:rsidRPr="0042000A">
        <w:rPr>
          <w:color w:val="FF0000"/>
        </w:rPr>
        <w:t>continuation/expansion of use (a continuing charge</w:t>
      </w:r>
    </w:p>
    <w:p w:rsidR="00F87BED" w:rsidRPr="0042000A" w:rsidRDefault="00F87BED" w:rsidP="00F87BED">
      <w:pPr>
        <w:rPr>
          <w:color w:val="FF0000"/>
        </w:rPr>
      </w:pPr>
      <w:r>
        <w:rPr>
          <w:color w:val="FF0000"/>
        </w:rPr>
        <w:tab/>
      </w:r>
      <w:r w:rsidRPr="0042000A">
        <w:rPr>
          <w:color w:val="FF0000"/>
        </w:rPr>
        <w:t xml:space="preserve">Revision of Recommendation (3) Further Recommendation on Access to data:  </w:t>
      </w:r>
      <w:r w:rsidRPr="0042000A">
        <w:rPr>
          <w:i/>
          <w:color w:val="FF0000"/>
        </w:rPr>
        <w:t xml:space="preserve">Apart from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42000A">
        <w:rPr>
          <w:i/>
          <w:color w:val="FF0000"/>
        </w:rPr>
        <w:t>aggregate data, no data shall be shared except with the responsible faculty member.</w:t>
      </w:r>
    </w:p>
    <w:p w:rsidR="00F87BED" w:rsidRPr="0042000A" w:rsidRDefault="00F87BED" w:rsidP="00F87BED">
      <w:pPr>
        <w:rPr>
          <w:color w:val="FF0000"/>
        </w:rPr>
      </w:pPr>
      <w:r>
        <w:rPr>
          <w:color w:val="FF0000"/>
        </w:rPr>
        <w:tab/>
      </w:r>
      <w:r w:rsidRPr="0042000A">
        <w:rPr>
          <w:color w:val="FF0000"/>
        </w:rPr>
        <w:t>(Considered in Exec and Tabled on January 10, 2012).</w:t>
      </w:r>
    </w:p>
    <w:p w:rsidR="00F87BED" w:rsidRPr="0042000A" w:rsidRDefault="00F87BED" w:rsidP="00F87BED">
      <w:pPr>
        <w:rPr>
          <w:color w:val="FF0000"/>
        </w:rPr>
      </w:pPr>
      <w:r>
        <w:rPr>
          <w:color w:val="FF0000"/>
        </w:rPr>
        <w:tab/>
      </w:r>
      <w:r w:rsidRPr="0042000A">
        <w:rPr>
          <w:color w:val="FF0000"/>
        </w:rPr>
        <w:t>Revised Recommendation (3)</w:t>
      </w:r>
    </w:p>
    <w:p w:rsidR="00F87BED" w:rsidRPr="0042000A" w:rsidRDefault="00F87BED" w:rsidP="00F87BED">
      <w:pPr>
        <w:rPr>
          <w:rFonts w:eastAsia="Times New Roman"/>
          <w:color w:val="FF0000"/>
        </w:rPr>
      </w:pPr>
      <w:r>
        <w:rPr>
          <w:rFonts w:eastAsia="Times New Roman"/>
          <w:i/>
          <w:iCs/>
          <w:color w:val="FF0000"/>
        </w:rPr>
        <w:tab/>
      </w:r>
      <w:r w:rsidRPr="0042000A">
        <w:rPr>
          <w:rFonts w:eastAsia="Times New Roman"/>
          <w:i/>
          <w:iCs/>
          <w:color w:val="FF0000"/>
        </w:rPr>
        <w:t xml:space="preserve">Apart from aggregate data, no individual faculty member's data shall be shared except with </w:t>
      </w:r>
      <w:r>
        <w:rPr>
          <w:rFonts w:eastAsia="Times New Roman"/>
          <w:i/>
          <w:iCs/>
          <w:color w:val="FF0000"/>
        </w:rPr>
        <w:tab/>
      </w:r>
      <w:r>
        <w:rPr>
          <w:rFonts w:eastAsia="Times New Roman"/>
          <w:i/>
          <w:iCs/>
          <w:color w:val="FF0000"/>
        </w:rPr>
        <w:tab/>
      </w:r>
      <w:r>
        <w:rPr>
          <w:rFonts w:eastAsia="Times New Roman"/>
          <w:i/>
          <w:iCs/>
          <w:color w:val="FF0000"/>
        </w:rPr>
        <w:tab/>
      </w:r>
      <w:r w:rsidRPr="0042000A">
        <w:rPr>
          <w:rFonts w:eastAsia="Times New Roman"/>
          <w:i/>
          <w:iCs/>
          <w:color w:val="FF0000"/>
        </w:rPr>
        <w:t xml:space="preserve">her/him. </w:t>
      </w:r>
      <w:r w:rsidRPr="0042000A">
        <w:rPr>
          <w:rFonts w:eastAsia="Times New Roman"/>
          <w:b/>
          <w:i/>
          <w:color w:val="FF0000"/>
        </w:rPr>
        <w:t>Faculty members may use their data at their discretion.</w:t>
      </w:r>
    </w:p>
    <w:p w:rsidR="00F87BED" w:rsidRDefault="00F87BED" w:rsidP="00F87BED">
      <w:pPr>
        <w:rPr>
          <w:color w:val="000000" w:themeColor="text1"/>
        </w:rPr>
      </w:pPr>
      <w:r>
        <w:rPr>
          <w:color w:val="FF0000"/>
        </w:rPr>
        <w:tab/>
      </w:r>
      <w:r w:rsidRPr="00015CFB">
        <w:rPr>
          <w:color w:val="000000" w:themeColor="text1"/>
        </w:rPr>
        <w:t>The vote to accept the revisions was conducted at the January 19, 2012 FAC meeting.</w:t>
      </w:r>
    </w:p>
    <w:p w:rsidR="00F76AB8" w:rsidRPr="00BC00F0" w:rsidRDefault="00F76AB8" w:rsidP="00F87BED">
      <w:pPr>
        <w:rPr>
          <w:color w:val="1F497D" w:themeColor="text2"/>
        </w:rPr>
      </w:pPr>
      <w:r>
        <w:rPr>
          <w:color w:val="000000" w:themeColor="text1"/>
        </w:rPr>
        <w:tab/>
      </w:r>
      <w:r w:rsidRPr="000D79C3">
        <w:rPr>
          <w:b/>
          <w:color w:val="000000" w:themeColor="text1"/>
        </w:rPr>
        <w:t>MOTION TO TABLE</w:t>
      </w:r>
      <w:r w:rsidR="00EA0006" w:rsidRPr="000D79C3">
        <w:rPr>
          <w:b/>
          <w:color w:val="000000" w:themeColor="text1"/>
        </w:rPr>
        <w:t xml:space="preserve"> </w:t>
      </w:r>
      <w:r w:rsidR="00EA0006" w:rsidRPr="00BC00F0">
        <w:rPr>
          <w:color w:val="000000" w:themeColor="text1"/>
        </w:rPr>
        <w:t>(</w:t>
      </w:r>
      <w:r w:rsidR="00EA0006" w:rsidRPr="00BC00F0">
        <w:rPr>
          <w:color w:val="1F497D" w:themeColor="text2"/>
        </w:rPr>
        <w:t xml:space="preserve">C. MacDonald/J. </w:t>
      </w:r>
      <w:proofErr w:type="spellStart"/>
      <w:r w:rsidR="00EA0006" w:rsidRPr="00BC00F0">
        <w:rPr>
          <w:color w:val="1F497D" w:themeColor="text2"/>
        </w:rPr>
        <w:t>Kuhman</w:t>
      </w:r>
      <w:proofErr w:type="spellEnd"/>
      <w:r w:rsidR="00EA0006" w:rsidRPr="00BC00F0">
        <w:rPr>
          <w:color w:val="1F497D" w:themeColor="text2"/>
        </w:rPr>
        <w:t>, vote 9-0-0</w:t>
      </w:r>
      <w:r w:rsidR="00BC00F0" w:rsidRPr="00BC00F0">
        <w:rPr>
          <w:color w:val="1F497D" w:themeColor="text2"/>
        </w:rPr>
        <w:t>)</w:t>
      </w:r>
      <w:r w:rsidR="00EA0006" w:rsidRPr="00BC00F0">
        <w:rPr>
          <w:color w:val="1F497D" w:themeColor="text2"/>
        </w:rPr>
        <w:t>.</w:t>
      </w:r>
    </w:p>
    <w:p w:rsidR="00F76AB8" w:rsidRPr="00015CFB" w:rsidRDefault="00F76AB8" w:rsidP="00F87BED">
      <w:pPr>
        <w:rPr>
          <w:color w:val="000000" w:themeColor="text1"/>
        </w:rPr>
      </w:pPr>
      <w:r>
        <w:rPr>
          <w:color w:val="000000" w:themeColor="text1"/>
        </w:rPr>
        <w:tab/>
        <w:t xml:space="preserve">S. Lamb:  Request J. Conant </w:t>
      </w:r>
      <w:proofErr w:type="gramStart"/>
      <w:r>
        <w:rPr>
          <w:color w:val="000000" w:themeColor="text1"/>
        </w:rPr>
        <w:t>design</w:t>
      </w:r>
      <w:proofErr w:type="gramEnd"/>
      <w:r>
        <w:rPr>
          <w:color w:val="000000" w:themeColor="text1"/>
        </w:rPr>
        <w:t xml:space="preserve"> a charge for FAC’s consideration. </w:t>
      </w:r>
    </w:p>
    <w:p w:rsidR="00F87BED" w:rsidRDefault="00F87BED" w:rsidP="00F87BED">
      <w:r>
        <w:tab/>
        <w:t xml:space="preserve">In regards to FAC Charge 9, J. </w:t>
      </w:r>
      <w:proofErr w:type="gramStart"/>
      <w:r>
        <w:t>West</w:t>
      </w:r>
      <w:r w:rsidR="00F76AB8">
        <w:t xml:space="preserve">  rationale</w:t>
      </w:r>
      <w:proofErr w:type="gramEnd"/>
      <w:r w:rsidR="00F76AB8">
        <w:t>/discussion</w:t>
      </w:r>
    </w:p>
    <w:p w:rsidR="00F76AB8" w:rsidRPr="00BC00F0" w:rsidRDefault="00F76AB8" w:rsidP="00F87BED">
      <w:pPr>
        <w:rPr>
          <w:color w:val="1F497D" w:themeColor="text2"/>
        </w:rPr>
      </w:pPr>
      <w:r>
        <w:tab/>
      </w:r>
      <w:r w:rsidRPr="000D79C3">
        <w:rPr>
          <w:b/>
        </w:rPr>
        <w:t xml:space="preserve">MOTION TO </w:t>
      </w:r>
      <w:proofErr w:type="gramStart"/>
      <w:r w:rsidRPr="000D79C3">
        <w:rPr>
          <w:b/>
        </w:rPr>
        <w:t xml:space="preserve">ACCEPT  </w:t>
      </w:r>
      <w:r w:rsidR="00BC00F0" w:rsidRPr="00BC00F0">
        <w:t>(</w:t>
      </w:r>
      <w:proofErr w:type="gramEnd"/>
      <w:r w:rsidRPr="00BC00F0">
        <w:rPr>
          <w:color w:val="1F497D" w:themeColor="text2"/>
        </w:rPr>
        <w:t>C. MacDonald/J. Kuhlman</w:t>
      </w:r>
      <w:r w:rsidR="000D79C3" w:rsidRPr="00BC00F0">
        <w:rPr>
          <w:color w:val="1F497D" w:themeColor="text2"/>
        </w:rPr>
        <w:t xml:space="preserve"> Vote 8-1-0</w:t>
      </w:r>
      <w:r w:rsidR="00BC00F0" w:rsidRPr="00BC00F0">
        <w:rPr>
          <w:color w:val="1F497D" w:themeColor="text2"/>
        </w:rPr>
        <w:t>)</w:t>
      </w:r>
      <w:r w:rsidR="008E7A8E">
        <w:rPr>
          <w:color w:val="1F497D" w:themeColor="text2"/>
        </w:rPr>
        <w:t>.</w:t>
      </w:r>
      <w:r w:rsidRPr="00BC00F0">
        <w:rPr>
          <w:color w:val="1F497D" w:themeColor="text2"/>
        </w:rPr>
        <w:t xml:space="preserve"> </w:t>
      </w:r>
    </w:p>
    <w:p w:rsidR="00F87BED" w:rsidRPr="00D2336B" w:rsidRDefault="00F87BED" w:rsidP="00F87BED">
      <w:pPr>
        <w:rPr>
          <w:b/>
          <w:u w:val="single"/>
        </w:rPr>
      </w:pPr>
      <w:r>
        <w:tab/>
      </w:r>
      <w:r w:rsidRPr="00D2336B">
        <w:rPr>
          <w:b/>
          <w:u w:val="single"/>
        </w:rPr>
        <w:t xml:space="preserve">Charge 9 Chair </w:t>
      </w:r>
      <w:proofErr w:type="gramStart"/>
      <w:r w:rsidRPr="00D2336B">
        <w:rPr>
          <w:b/>
          <w:u w:val="single"/>
        </w:rPr>
        <w:t>Authority</w:t>
      </w:r>
      <w:proofErr w:type="gramEnd"/>
      <w:r w:rsidRPr="00D2336B">
        <w:rPr>
          <w:b/>
          <w:u w:val="single"/>
        </w:rPr>
        <w:t xml:space="preserve"> in Scheduling Classes</w:t>
      </w:r>
    </w:p>
    <w:p w:rsidR="00F87BED" w:rsidRPr="00D2336B" w:rsidRDefault="00015CFB" w:rsidP="00F87BED">
      <w:pPr>
        <w:ind w:left="720"/>
      </w:pPr>
      <w:r w:rsidRPr="00D2336B">
        <w:tab/>
      </w:r>
      <w:r w:rsidR="00F87BED" w:rsidRPr="00D2336B">
        <w:t xml:space="preserve">Consider class schedule planning--how to protect chairperson and faculty roles in scheduling and </w:t>
      </w:r>
      <w:r w:rsidRPr="00D2336B">
        <w:tab/>
      </w:r>
      <w:r w:rsidR="00F87BED" w:rsidRPr="00D2336B">
        <w:t xml:space="preserve">offering courses while promoting communication among depts., colleges, and FS and ensuring </w:t>
      </w:r>
      <w:r w:rsidRPr="00D2336B">
        <w:tab/>
      </w:r>
      <w:r w:rsidR="00F87BED" w:rsidRPr="00D2336B">
        <w:t>student needs are met.</w:t>
      </w:r>
    </w:p>
    <w:p w:rsidR="00F87BED" w:rsidRPr="00D2336B" w:rsidRDefault="00015CFB" w:rsidP="00F87BED">
      <w:r w:rsidRPr="00D2336B">
        <w:tab/>
      </w:r>
      <w:r w:rsidR="00F87BED" w:rsidRPr="00D2336B">
        <w:t>The committee voted to approve the following statement concerning the issue:</w:t>
      </w:r>
    </w:p>
    <w:p w:rsidR="00F87BED" w:rsidRPr="00D2336B" w:rsidRDefault="00015CFB" w:rsidP="00F87BED">
      <w:pPr>
        <w:rPr>
          <w:i/>
        </w:rPr>
      </w:pPr>
      <w:r w:rsidRPr="00D2336B">
        <w:rPr>
          <w:i/>
        </w:rPr>
        <w:lastRenderedPageBreak/>
        <w:tab/>
      </w:r>
      <w:r w:rsidR="00F87BED" w:rsidRPr="00D2336B">
        <w:rPr>
          <w:i/>
        </w:rPr>
        <w:t xml:space="preserve">The Faculty Affairs Committee finds that the University Handbook places scheduling authority in </w:t>
      </w:r>
      <w:r w:rsidRPr="00D2336B">
        <w:rPr>
          <w:i/>
        </w:rPr>
        <w:tab/>
      </w:r>
      <w:r w:rsidRPr="00D2336B">
        <w:rPr>
          <w:i/>
        </w:rPr>
        <w:tab/>
      </w:r>
      <w:r w:rsidRPr="00D2336B">
        <w:rPr>
          <w:i/>
        </w:rPr>
        <w:tab/>
      </w:r>
      <w:r w:rsidR="00F87BED" w:rsidRPr="00D2336B">
        <w:rPr>
          <w:i/>
        </w:rPr>
        <w:t xml:space="preserve">the hands of the department chairs and their departments.  This authority is subject to university </w:t>
      </w:r>
      <w:r w:rsidRPr="00D2336B">
        <w:rPr>
          <w:i/>
        </w:rPr>
        <w:tab/>
      </w:r>
      <w:r w:rsidRPr="00D2336B">
        <w:rPr>
          <w:i/>
        </w:rPr>
        <w:tab/>
      </w:r>
      <w:r w:rsidR="00F87BED" w:rsidRPr="00D2336B">
        <w:rPr>
          <w:i/>
        </w:rPr>
        <w:t xml:space="preserve">policies and procedures.  </w:t>
      </w:r>
      <w:r w:rsidR="00F87BED" w:rsidRPr="000D79C3">
        <w:rPr>
          <w:i/>
        </w:rPr>
        <w:t xml:space="preserve">However, it is not subject memoranda, guidelines, or any other </w:t>
      </w:r>
      <w:r w:rsidRPr="000D79C3">
        <w:rPr>
          <w:i/>
        </w:rPr>
        <w:tab/>
      </w:r>
      <w:r w:rsidRPr="000D79C3">
        <w:rPr>
          <w:i/>
        </w:rPr>
        <w:tab/>
      </w:r>
      <w:r w:rsidRPr="000D79C3">
        <w:rPr>
          <w:i/>
        </w:rPr>
        <w:tab/>
      </w:r>
      <w:r w:rsidRPr="000D79C3">
        <w:rPr>
          <w:i/>
        </w:rPr>
        <w:tab/>
      </w:r>
      <w:r w:rsidR="00F87BED" w:rsidRPr="000D79C3">
        <w:rPr>
          <w:i/>
        </w:rPr>
        <w:t xml:space="preserve">administrative documents which have not been approved by formal university-wide policy-making </w:t>
      </w:r>
      <w:r w:rsidRPr="000D79C3">
        <w:rPr>
          <w:i/>
        </w:rPr>
        <w:tab/>
      </w:r>
      <w:r w:rsidRPr="000D79C3">
        <w:rPr>
          <w:i/>
        </w:rPr>
        <w:tab/>
      </w:r>
      <w:r w:rsidR="00F87BED" w:rsidRPr="000D79C3">
        <w:rPr>
          <w:i/>
        </w:rPr>
        <w:t>bodies.  We further recommend</w:t>
      </w:r>
      <w:r w:rsidR="00F87BED" w:rsidRPr="00D2336B">
        <w:rPr>
          <w:i/>
        </w:rPr>
        <w:t xml:space="preserve"> a faculty-led multilateral review of section 350.2.6 of University </w:t>
      </w:r>
      <w:r w:rsidRPr="00D2336B">
        <w:rPr>
          <w:i/>
        </w:rPr>
        <w:tab/>
      </w:r>
      <w:r w:rsidRPr="00D2336B">
        <w:rPr>
          <w:i/>
        </w:rPr>
        <w:tab/>
      </w:r>
      <w:r w:rsidRPr="00D2336B">
        <w:rPr>
          <w:i/>
        </w:rPr>
        <w:tab/>
      </w:r>
      <w:r w:rsidR="00F87BED" w:rsidRPr="00D2336B">
        <w:rPr>
          <w:i/>
        </w:rPr>
        <w:t xml:space="preserve">Handbook with the aim of suggesting revisions which will clarify the role of faculty governance in </w:t>
      </w:r>
      <w:r w:rsidRPr="00D2336B">
        <w:rPr>
          <w:i/>
        </w:rPr>
        <w:tab/>
      </w:r>
      <w:r w:rsidRPr="00D2336B">
        <w:rPr>
          <w:i/>
        </w:rPr>
        <w:tab/>
      </w:r>
      <w:r w:rsidR="00F87BED" w:rsidRPr="00D2336B">
        <w:rPr>
          <w:i/>
        </w:rPr>
        <w:t>making University policies and procedures on course scheduling.</w:t>
      </w:r>
    </w:p>
    <w:p w:rsidR="00F87BED" w:rsidRPr="00015CFB" w:rsidRDefault="00015CFB" w:rsidP="00F87BED">
      <w:pPr>
        <w:rPr>
          <w:color w:val="000000" w:themeColor="text1"/>
        </w:rPr>
      </w:pPr>
      <w:r>
        <w:tab/>
      </w:r>
      <w:r w:rsidR="00F87BED" w:rsidRPr="00015CFB">
        <w:rPr>
          <w:color w:val="000000" w:themeColor="text1"/>
        </w:rPr>
        <w:t>The vote to accept the revisions was conducted at the January 19, 2012 FAC meeting.</w:t>
      </w:r>
    </w:p>
    <w:p w:rsidR="00F87BED" w:rsidRPr="008E7A8E" w:rsidRDefault="00EA0006" w:rsidP="00F87BED">
      <w:r>
        <w:tab/>
      </w:r>
      <w:r w:rsidRPr="00EA0006">
        <w:rPr>
          <w:b/>
        </w:rPr>
        <w:t xml:space="preserve">MOTION TO STRIKE </w:t>
      </w:r>
      <w:r>
        <w:rPr>
          <w:b/>
        </w:rPr>
        <w:t xml:space="preserve">“However – bodies and the word </w:t>
      </w:r>
      <w:proofErr w:type="gramStart"/>
      <w:r>
        <w:rPr>
          <w:b/>
        </w:rPr>
        <w:t>further  (</w:t>
      </w:r>
      <w:proofErr w:type="gramEnd"/>
      <w:r w:rsidR="009738C6" w:rsidRPr="008E7A8E">
        <w:t xml:space="preserve">T. Hawkins/R. Guell </w:t>
      </w:r>
      <w:r w:rsidRPr="008E7A8E">
        <w:t>vote:  3-5-1)</w:t>
      </w:r>
      <w:r>
        <w:rPr>
          <w:b/>
        </w:rPr>
        <w:t xml:space="preserve"> </w:t>
      </w:r>
      <w:r w:rsidR="009738C6">
        <w:rPr>
          <w:b/>
        </w:rPr>
        <w:tab/>
      </w:r>
      <w:r w:rsidR="009738C6">
        <w:rPr>
          <w:b/>
        </w:rPr>
        <w:tab/>
      </w:r>
      <w:r w:rsidRPr="008E7A8E">
        <w:t xml:space="preserve">forward to Faculty Senate, February  23, 2012. </w:t>
      </w:r>
    </w:p>
    <w:p w:rsidR="004B09FD" w:rsidRDefault="00015CFB" w:rsidP="004B09FD">
      <w:r>
        <w:t>VI.</w:t>
      </w:r>
      <w:r>
        <w:tab/>
        <w:t>Eliminate Geography Program for Teacher Licensure (File 4)</w:t>
      </w:r>
      <w:r w:rsidR="00EA0006">
        <w:t xml:space="preserve"> </w:t>
      </w:r>
      <w:r w:rsidR="009738C6">
        <w:t>(</w:t>
      </w:r>
      <w:r w:rsidR="00EA0006">
        <w:t>vote:  unanimous.</w:t>
      </w:r>
      <w:r w:rsidR="009738C6">
        <w:t>)</w:t>
      </w:r>
    </w:p>
    <w:p w:rsidR="00015CFB" w:rsidRDefault="00015CFB" w:rsidP="00015CFB">
      <w:pPr>
        <w:pStyle w:val="NoSpacing"/>
      </w:pPr>
      <w:r>
        <w:t>VIII.</w:t>
      </w:r>
      <w:r>
        <w:tab/>
        <w:t>Eliminate MS Family and Consumer Sciences (for teacher licensure</w:t>
      </w:r>
      <w:proofErr w:type="gramStart"/>
      <w:r>
        <w:t>)</w:t>
      </w:r>
      <w:r w:rsidR="00EA0006">
        <w:t xml:space="preserve">  </w:t>
      </w:r>
      <w:r>
        <w:t>Y</w:t>
      </w:r>
      <w:proofErr w:type="gramEnd"/>
      <w:r>
        <w:t xml:space="preserve">. Peterson presented </w:t>
      </w:r>
      <w:r w:rsidR="00EA0006">
        <w:tab/>
      </w:r>
      <w:r w:rsidR="00EA0006">
        <w:tab/>
      </w:r>
      <w:r w:rsidR="00EA0006">
        <w:tab/>
      </w:r>
      <w:r>
        <w:t>rationale.</w:t>
      </w:r>
      <w:r w:rsidR="00EA0006">
        <w:t xml:space="preserve"> (</w:t>
      </w:r>
      <w:proofErr w:type="gramStart"/>
      <w:r w:rsidR="00EA0006">
        <w:t>vote</w:t>
      </w:r>
      <w:proofErr w:type="gramEnd"/>
      <w:r w:rsidR="00EA0006">
        <w:t xml:space="preserve">:  unanimous) </w:t>
      </w:r>
    </w:p>
    <w:p w:rsidR="00015CFB" w:rsidRDefault="00015CFB" w:rsidP="00015CFB">
      <w:pPr>
        <w:pStyle w:val="NoSpacing"/>
      </w:pPr>
    </w:p>
    <w:p w:rsidR="00015CFB" w:rsidRDefault="00201395" w:rsidP="00015CFB">
      <w:pPr>
        <w:pStyle w:val="NoSpacing"/>
      </w:pPr>
      <w:r>
        <w:t xml:space="preserve">X. </w:t>
      </w:r>
      <w:r>
        <w:tab/>
        <w:t>Possible</w:t>
      </w:r>
      <w:r w:rsidR="00015CFB">
        <w:t xml:space="preserve"> Charge for SAC from Student Success Council  </w:t>
      </w:r>
    </w:p>
    <w:p w:rsidR="00015CFB" w:rsidRDefault="00015CFB" w:rsidP="004B09FD">
      <w:r>
        <w:tab/>
        <w:t xml:space="preserve">Memo from J. </w:t>
      </w:r>
      <w:r w:rsidR="00201395">
        <w:t xml:space="preserve">Schriver, Assoc. VP for Student Success: </w:t>
      </w:r>
    </w:p>
    <w:p w:rsidR="00015CFB" w:rsidRDefault="004B09FD" w:rsidP="00015CFB">
      <w:r>
        <w:t xml:space="preserve"> </w:t>
      </w:r>
      <w:r w:rsidR="00015CFB">
        <w:tab/>
        <w:t xml:space="preserve">The Student Success Council has discussed the impact of WF grades on students and would like </w:t>
      </w:r>
      <w:r w:rsidR="00015CFB">
        <w:tab/>
      </w:r>
      <w:r w:rsidR="00015CFB">
        <w:tab/>
      </w:r>
      <w:r w:rsidR="00015CFB">
        <w:tab/>
        <w:t xml:space="preserve">the Student Affairs Committee to review the issue and make a recommendation about whether </w:t>
      </w:r>
      <w:r w:rsidR="00015CFB">
        <w:tab/>
      </w:r>
      <w:r w:rsidR="00015CFB">
        <w:tab/>
      </w:r>
      <w:r w:rsidR="00015CFB">
        <w:tab/>
        <w:t xml:space="preserve">WF grades should be retained, and if they are retained, whether they should impact the </w:t>
      </w:r>
      <w:proofErr w:type="spellStart"/>
      <w:proofErr w:type="gramStart"/>
      <w:r w:rsidR="00015CFB">
        <w:t>gpa</w:t>
      </w:r>
      <w:proofErr w:type="spellEnd"/>
      <w:proofErr w:type="gramEnd"/>
      <w:r w:rsidR="00015CFB">
        <w:t xml:space="preserve">.  </w:t>
      </w:r>
    </w:p>
    <w:p w:rsidR="00015CFB" w:rsidRDefault="00201395" w:rsidP="00015CFB">
      <w:r>
        <w:tab/>
      </w:r>
      <w:r w:rsidR="00015CFB">
        <w:t xml:space="preserve">To give you a little background, our current policy is that WP and WF grades are assigned to </w:t>
      </w:r>
      <w:r>
        <w:tab/>
      </w:r>
      <w:r>
        <w:tab/>
      </w:r>
      <w:r>
        <w:tab/>
      </w:r>
      <w:r w:rsidR="00015CFB">
        <w:t>students who withdraw after the 10</w:t>
      </w:r>
      <w:r w:rsidR="00015CFB">
        <w:rPr>
          <w:vertAlign w:val="superscript"/>
        </w:rPr>
        <w:t>th</w:t>
      </w:r>
      <w:r w:rsidR="00015CFB">
        <w:t xml:space="preserve"> week of the semester.  A WP grade indicates the student </w:t>
      </w:r>
      <w:r>
        <w:tab/>
      </w:r>
      <w:r>
        <w:tab/>
      </w:r>
      <w:r>
        <w:tab/>
      </w:r>
      <w:r w:rsidR="00015CFB">
        <w:t xml:space="preserve">was passing at the time of withdrawal, and a WF grade indicates the student was not passing.  WP </w:t>
      </w:r>
      <w:r>
        <w:tab/>
      </w:r>
      <w:r>
        <w:tab/>
      </w:r>
      <w:r w:rsidR="00015CFB">
        <w:t xml:space="preserve">grades do not count in the </w:t>
      </w:r>
      <w:proofErr w:type="spellStart"/>
      <w:proofErr w:type="gramStart"/>
      <w:r w:rsidR="00015CFB">
        <w:t>gpa</w:t>
      </w:r>
      <w:proofErr w:type="spellEnd"/>
      <w:proofErr w:type="gramEnd"/>
      <w:r w:rsidR="00015CFB">
        <w:t xml:space="preserve">.  WF grades count in the </w:t>
      </w:r>
      <w:proofErr w:type="spellStart"/>
      <w:proofErr w:type="gramStart"/>
      <w:r w:rsidR="00015CFB">
        <w:t>gpa</w:t>
      </w:r>
      <w:proofErr w:type="spellEnd"/>
      <w:proofErr w:type="gramEnd"/>
      <w:r w:rsidR="00015CFB">
        <w:t xml:space="preserve"> in the same way an F would count.  </w:t>
      </w:r>
      <w:r>
        <w:tab/>
      </w:r>
      <w:r>
        <w:tab/>
      </w:r>
      <w:r>
        <w:tab/>
      </w:r>
      <w:r w:rsidR="00015CFB">
        <w:t xml:space="preserve">Thus, students who withdraw from the University and earn at least one WF grade essentially earn </w:t>
      </w:r>
      <w:r>
        <w:tab/>
      </w:r>
      <w:r>
        <w:tab/>
      </w:r>
      <w:r w:rsidR="00015CFB">
        <w:t xml:space="preserve">a 0.00 </w:t>
      </w:r>
      <w:proofErr w:type="spellStart"/>
      <w:proofErr w:type="gramStart"/>
      <w:r w:rsidR="00015CFB">
        <w:t>gpa</w:t>
      </w:r>
      <w:proofErr w:type="spellEnd"/>
      <w:proofErr w:type="gramEnd"/>
      <w:r w:rsidR="00015CFB">
        <w:t xml:space="preserve">.  This might result in academic dismissal, and it certainly impacts the overall </w:t>
      </w:r>
      <w:proofErr w:type="spellStart"/>
      <w:proofErr w:type="gramStart"/>
      <w:r w:rsidR="00015CFB">
        <w:t>gpa</w:t>
      </w:r>
      <w:proofErr w:type="spellEnd"/>
      <w:proofErr w:type="gramEnd"/>
      <w:r w:rsidR="00015CFB">
        <w:t>.</w:t>
      </w:r>
    </w:p>
    <w:p w:rsidR="00201395" w:rsidRDefault="00201395" w:rsidP="00201395">
      <w:pPr>
        <w:spacing w:after="0"/>
        <w:jc w:val="center"/>
        <w:rPr>
          <w:b/>
        </w:rPr>
      </w:pPr>
      <w:r>
        <w:rPr>
          <w:b/>
        </w:rPr>
        <w:t>Probation Advising Program for First-Year Students</w:t>
      </w:r>
    </w:p>
    <w:p w:rsidR="00201395" w:rsidRDefault="00201395" w:rsidP="00201395">
      <w:pPr>
        <w:spacing w:after="0"/>
        <w:jc w:val="center"/>
        <w:rPr>
          <w:b/>
        </w:rPr>
      </w:pPr>
      <w:r>
        <w:rPr>
          <w:b/>
        </w:rPr>
        <w:t>Spring, 2012</w:t>
      </w:r>
    </w:p>
    <w:p w:rsidR="00201395" w:rsidRDefault="00201395" w:rsidP="00201395">
      <w:pPr>
        <w:spacing w:after="0"/>
      </w:pPr>
    </w:p>
    <w:p w:rsidR="00201395" w:rsidRDefault="00201395" w:rsidP="00201395">
      <w:pPr>
        <w:spacing w:after="0"/>
      </w:pPr>
      <w:r>
        <w:tab/>
        <w:t xml:space="preserve">The Office of Student Success, in collaboration with the Associate Deans of each College, has </w:t>
      </w:r>
      <w:r>
        <w:tab/>
      </w:r>
      <w:r>
        <w:tab/>
      </w:r>
      <w:r>
        <w:tab/>
        <w:t xml:space="preserve">developed an advising program for first-year students on academic probation.  Each of the </w:t>
      </w:r>
      <w:r>
        <w:tab/>
      </w:r>
      <w:r>
        <w:tab/>
      </w:r>
      <w:r>
        <w:tab/>
        <w:t xml:space="preserve">Colleges has agreed to implement the program in similar ways and to record information about </w:t>
      </w:r>
      <w:r>
        <w:tab/>
      </w:r>
      <w:r>
        <w:tab/>
      </w:r>
      <w:r>
        <w:tab/>
        <w:t xml:space="preserve">student participation for assessment purposes at the end of the term.  </w:t>
      </w:r>
    </w:p>
    <w:p w:rsidR="00BC00F0" w:rsidRDefault="00BC00F0" w:rsidP="00201395">
      <w:pPr>
        <w:spacing w:after="0"/>
      </w:pPr>
    </w:p>
    <w:p w:rsidR="00201395" w:rsidRPr="00BC00F0" w:rsidRDefault="00201395" w:rsidP="00201395">
      <w:pPr>
        <w:spacing w:after="0"/>
        <w:rPr>
          <w:u w:val="single"/>
        </w:rPr>
      </w:pPr>
      <w:r w:rsidRPr="00BC00F0">
        <w:rPr>
          <w:b/>
        </w:rPr>
        <w:tab/>
      </w:r>
      <w:r w:rsidRPr="00BC00F0">
        <w:rPr>
          <w:b/>
          <w:u w:val="single"/>
        </w:rPr>
        <w:t>Advising Program</w:t>
      </w:r>
    </w:p>
    <w:p w:rsidR="00201395" w:rsidRPr="00C402B5" w:rsidRDefault="00201395" w:rsidP="00201395">
      <w:pPr>
        <w:spacing w:after="0"/>
      </w:pPr>
    </w:p>
    <w:p w:rsidR="00201395" w:rsidRDefault="009D688A" w:rsidP="00201395">
      <w:pPr>
        <w:spacing w:after="0"/>
      </w:pPr>
      <w:r>
        <w:tab/>
      </w:r>
      <w:r w:rsidR="00201395">
        <w:t>The Probation Advising Program consists of the following:</w:t>
      </w:r>
    </w:p>
    <w:p w:rsidR="00201395" w:rsidRDefault="009D688A" w:rsidP="00201395">
      <w:pPr>
        <w:pStyle w:val="ListParagraph"/>
        <w:numPr>
          <w:ilvl w:val="0"/>
          <w:numId w:val="1"/>
        </w:numPr>
        <w:spacing w:after="0" w:line="240" w:lineRule="auto"/>
      </w:pPr>
      <w:r>
        <w:tab/>
      </w:r>
      <w:r w:rsidR="00201395">
        <w:t xml:space="preserve">Initial meeting at the beginning of the spring term with an academic advisor to complete a </w:t>
      </w:r>
      <w:r>
        <w:tab/>
      </w:r>
      <w:r w:rsidR="00201395">
        <w:t xml:space="preserve">Needs Assessment Questionnaire and to review the students’ spring schedule.   Students’ </w:t>
      </w:r>
      <w:r>
        <w:tab/>
      </w:r>
      <w:r w:rsidR="00201395">
        <w:t xml:space="preserve">schedules will be reviewed to determine whether courses should be repeated or schedule </w:t>
      </w:r>
      <w:r>
        <w:tab/>
      </w:r>
      <w:r w:rsidR="00201395">
        <w:t xml:space="preserve">should be modified in other ways.  </w:t>
      </w:r>
    </w:p>
    <w:p w:rsidR="00201395" w:rsidRDefault="009D688A" w:rsidP="00201395">
      <w:pPr>
        <w:pStyle w:val="ListParagraph"/>
        <w:numPr>
          <w:ilvl w:val="0"/>
          <w:numId w:val="1"/>
        </w:numPr>
        <w:spacing w:after="0" w:line="240" w:lineRule="auto"/>
      </w:pPr>
      <w:r>
        <w:tab/>
      </w:r>
      <w:r w:rsidR="00201395">
        <w:t xml:space="preserve">Bi-monthly in-person meetings with an academic advisor where academic progress and </w:t>
      </w:r>
      <w:r>
        <w:tab/>
      </w:r>
      <w:r w:rsidR="00201395">
        <w:t>obstacles to success are reviewed, support is provided, and reinforcement is offered.</w:t>
      </w:r>
    </w:p>
    <w:p w:rsidR="00201395" w:rsidRDefault="009D688A" w:rsidP="00201395">
      <w:pPr>
        <w:pStyle w:val="ListParagraph"/>
        <w:numPr>
          <w:ilvl w:val="0"/>
          <w:numId w:val="1"/>
        </w:numPr>
        <w:spacing w:after="0" w:line="240" w:lineRule="auto"/>
      </w:pPr>
      <w:r>
        <w:tab/>
      </w:r>
      <w:r w:rsidR="00201395">
        <w:t>Advisors will touch base via phone or email weekly with students.</w:t>
      </w:r>
    </w:p>
    <w:p w:rsidR="00201395" w:rsidRDefault="009D688A" w:rsidP="00201395">
      <w:pPr>
        <w:pStyle w:val="ListParagraph"/>
        <w:numPr>
          <w:ilvl w:val="0"/>
          <w:numId w:val="1"/>
        </w:numPr>
        <w:spacing w:after="0" w:line="240" w:lineRule="auto"/>
      </w:pPr>
      <w:r>
        <w:tab/>
      </w:r>
      <w:r w:rsidR="00201395">
        <w:t xml:space="preserve">MAP-Works will be used for advisors to communicate with others on campus who may be able </w:t>
      </w:r>
      <w:r>
        <w:tab/>
      </w:r>
      <w:r w:rsidR="00201395">
        <w:t>o assist students (e.g., res life staff).</w:t>
      </w:r>
    </w:p>
    <w:p w:rsidR="00201395" w:rsidRDefault="00201395" w:rsidP="00201395">
      <w:pPr>
        <w:spacing w:after="0"/>
      </w:pPr>
    </w:p>
    <w:p w:rsidR="008E7A8E" w:rsidRDefault="008E7A8E" w:rsidP="00201395">
      <w:pPr>
        <w:spacing w:after="0"/>
      </w:pPr>
    </w:p>
    <w:p w:rsidR="00201395" w:rsidRPr="00BC00F0" w:rsidRDefault="009D688A" w:rsidP="00201395">
      <w:pPr>
        <w:spacing w:after="0"/>
        <w:rPr>
          <w:u w:val="single"/>
        </w:rPr>
      </w:pPr>
      <w:r w:rsidRPr="00BC00F0">
        <w:rPr>
          <w:b/>
        </w:rPr>
        <w:tab/>
      </w:r>
      <w:r w:rsidR="00201395" w:rsidRPr="00BC00F0">
        <w:rPr>
          <w:b/>
          <w:u w:val="single"/>
        </w:rPr>
        <w:t>Academic Advisors</w:t>
      </w:r>
    </w:p>
    <w:p w:rsidR="00201395" w:rsidRDefault="00201395" w:rsidP="00201395">
      <w:pPr>
        <w:spacing w:after="0"/>
      </w:pPr>
    </w:p>
    <w:p w:rsidR="00201395" w:rsidRDefault="009D688A" w:rsidP="00201395">
      <w:pPr>
        <w:spacing w:after="0"/>
      </w:pPr>
      <w:r>
        <w:tab/>
      </w:r>
      <w:r w:rsidR="00201395">
        <w:t xml:space="preserve">Each College will determine the appropriate individuals to serve as academic advisors for the </w:t>
      </w:r>
      <w:r>
        <w:tab/>
      </w:r>
      <w:r>
        <w:tab/>
      </w:r>
      <w:r>
        <w:tab/>
      </w:r>
      <w:r w:rsidR="00201395">
        <w:t xml:space="preserve">program.  Several of the Colleges will use professional advisors, whereas two of the Colleges have </w:t>
      </w:r>
      <w:r>
        <w:tab/>
      </w:r>
      <w:r>
        <w:tab/>
      </w:r>
      <w:r w:rsidR="00201395">
        <w:t xml:space="preserve">asked faculty advisors to be the primary contacts with students.  Each of the units will be provided </w:t>
      </w:r>
      <w:r>
        <w:tab/>
      </w:r>
      <w:r>
        <w:tab/>
      </w:r>
      <w:r w:rsidR="00201395">
        <w:t xml:space="preserve">a stipend from Academic Affairs based on the total number of students participating in the </w:t>
      </w:r>
      <w:r>
        <w:tab/>
      </w:r>
      <w:r>
        <w:tab/>
      </w:r>
      <w:r>
        <w:tab/>
      </w:r>
      <w:r w:rsidR="00201395">
        <w:t>probation program.</w:t>
      </w:r>
    </w:p>
    <w:p w:rsidR="00201395" w:rsidRDefault="00201395" w:rsidP="00201395">
      <w:pPr>
        <w:spacing w:after="0"/>
      </w:pPr>
    </w:p>
    <w:p w:rsidR="00201395" w:rsidRPr="001167F1" w:rsidRDefault="009D688A" w:rsidP="00201395">
      <w:pPr>
        <w:spacing w:after="0"/>
      </w:pPr>
      <w:r>
        <w:tab/>
      </w:r>
      <w:r w:rsidR="00201395">
        <w:t xml:space="preserve">The </w:t>
      </w:r>
      <w:proofErr w:type="spellStart"/>
      <w:r w:rsidR="00201395">
        <w:t>ISUcceed</w:t>
      </w:r>
      <w:proofErr w:type="spellEnd"/>
      <w:r w:rsidR="00201395">
        <w:t xml:space="preserve"> Program, which is administered by staff in the African American Cultural Center, will </w:t>
      </w:r>
      <w:r>
        <w:tab/>
      </w:r>
      <w:r>
        <w:tab/>
      </w:r>
      <w:r w:rsidR="00201395">
        <w:t xml:space="preserve">be assisting with the probation program.  Students have the option of choosing to participate in </w:t>
      </w:r>
      <w:r>
        <w:tab/>
      </w:r>
      <w:r>
        <w:tab/>
      </w:r>
      <w:r>
        <w:tab/>
      </w:r>
      <w:proofErr w:type="spellStart"/>
      <w:r w:rsidR="00201395">
        <w:t>ISUcceed</w:t>
      </w:r>
      <w:proofErr w:type="spellEnd"/>
      <w:r w:rsidR="00201395">
        <w:t xml:space="preserve"> or in their College’s program.</w:t>
      </w:r>
    </w:p>
    <w:p w:rsidR="00201395" w:rsidRDefault="00201395" w:rsidP="00201395">
      <w:pPr>
        <w:spacing w:after="0"/>
      </w:pPr>
    </w:p>
    <w:p w:rsidR="00201395" w:rsidRDefault="00201395" w:rsidP="00201395">
      <w:pPr>
        <w:spacing w:after="0"/>
      </w:pPr>
    </w:p>
    <w:p w:rsidR="009D688A" w:rsidRDefault="009D688A" w:rsidP="009D688A">
      <w:pPr>
        <w:spacing w:after="0"/>
      </w:pPr>
    </w:p>
    <w:p w:rsidR="009D688A" w:rsidRDefault="009D688A" w:rsidP="00BC00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Dismissals</w:t>
      </w:r>
    </w:p>
    <w:p w:rsidR="009D688A" w:rsidRDefault="009D688A" w:rsidP="009D68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Fall, 2011</w:t>
      </w:r>
    </w:p>
    <w:p w:rsidR="009D688A" w:rsidRDefault="009D688A" w:rsidP="009D688A">
      <w:pPr>
        <w:spacing w:after="0"/>
        <w:jc w:val="center"/>
        <w:rPr>
          <w:b/>
          <w:sz w:val="28"/>
          <w:szCs w:val="28"/>
        </w:rPr>
      </w:pPr>
    </w:p>
    <w:p w:rsidR="009D688A" w:rsidRDefault="009D688A" w:rsidP="009D688A">
      <w:pPr>
        <w:spacing w:after="0"/>
      </w:pPr>
      <w:r w:rsidRPr="00775D43">
        <w:t xml:space="preserve">Overall,  </w:t>
      </w:r>
      <w:r w:rsidRPr="00775D43">
        <w:rPr>
          <w:i/>
        </w:rPr>
        <w:t>for all undergraduate students</w:t>
      </w:r>
      <w:r w:rsidRPr="00775D43">
        <w:t>, 454 students were academically dismissed following the fall, 2011 term</w:t>
      </w:r>
      <w:r>
        <w:t>, and 276 (61</w:t>
      </w:r>
      <w:r w:rsidRPr="00775D43">
        <w:t>%) of these were first time f</w:t>
      </w:r>
      <w:r>
        <w:t>reshmen who earned less than a 0.85</w:t>
      </w:r>
      <w:r w:rsidRPr="00775D43">
        <w:t xml:space="preserve"> grade point average.</w:t>
      </w:r>
    </w:p>
    <w:p w:rsidR="009D688A" w:rsidRDefault="009D688A" w:rsidP="009D688A">
      <w:pPr>
        <w:spacing w:after="0"/>
        <w:jc w:val="center"/>
        <w:rPr>
          <w:b/>
          <w:sz w:val="28"/>
          <w:szCs w:val="28"/>
        </w:rPr>
      </w:pPr>
    </w:p>
    <w:p w:rsidR="009D688A" w:rsidRPr="00775D43" w:rsidRDefault="009D688A" w:rsidP="009D688A">
      <w:pPr>
        <w:spacing w:after="0"/>
        <w:rPr>
          <w:i/>
          <w:sz w:val="24"/>
          <w:szCs w:val="24"/>
          <w:u w:val="single"/>
        </w:rPr>
      </w:pPr>
      <w:r w:rsidRPr="00775D43">
        <w:rPr>
          <w:i/>
          <w:sz w:val="24"/>
          <w:szCs w:val="24"/>
          <w:u w:val="single"/>
        </w:rPr>
        <w:t xml:space="preserve">Special Probation for First-time </w:t>
      </w:r>
      <w:proofErr w:type="gramStart"/>
      <w:r w:rsidRPr="00775D43">
        <w:rPr>
          <w:i/>
          <w:sz w:val="24"/>
          <w:szCs w:val="24"/>
          <w:u w:val="single"/>
        </w:rPr>
        <w:t>Freshmen</w:t>
      </w:r>
      <w:proofErr w:type="gramEnd"/>
      <w:r w:rsidRPr="00775D43">
        <w:rPr>
          <w:i/>
          <w:sz w:val="24"/>
          <w:szCs w:val="24"/>
          <w:u w:val="single"/>
        </w:rPr>
        <w:t xml:space="preserve"> </w:t>
      </w:r>
    </w:p>
    <w:p w:rsidR="009D688A" w:rsidRDefault="009D688A" w:rsidP="009D688A">
      <w:pPr>
        <w:spacing w:after="0"/>
      </w:pPr>
    </w:p>
    <w:p w:rsidR="009D688A" w:rsidRDefault="009D688A" w:rsidP="009D688A">
      <w:pPr>
        <w:spacing w:after="0"/>
      </w:pPr>
      <w:r>
        <w:t xml:space="preserve">First-time, full-time freshmen who earned less than 0.85 </w:t>
      </w:r>
      <w:proofErr w:type="spellStart"/>
      <w:r>
        <w:t>gpa</w:t>
      </w:r>
      <w:proofErr w:type="spellEnd"/>
      <w:r>
        <w:t xml:space="preserve"> in the fall, 2011 term were initially placed on </w:t>
      </w:r>
      <w:r>
        <w:tab/>
        <w:t xml:space="preserve">Special Probation.  The category of Special Probation is considered a “holding pattern” while </w:t>
      </w:r>
      <w:r>
        <w:tab/>
        <w:t>determinations are made regarding whether these students could re-enroll for the spring, 2012 term.</w:t>
      </w:r>
    </w:p>
    <w:p w:rsidR="009D688A" w:rsidRDefault="009D688A" w:rsidP="009D688A">
      <w:pPr>
        <w:spacing w:after="0"/>
      </w:pPr>
    </w:p>
    <w:tbl>
      <w:tblPr>
        <w:tblStyle w:val="TableGrid"/>
        <w:tblW w:w="0" w:type="auto"/>
        <w:tblLook w:val="04A0"/>
      </w:tblPr>
      <w:tblGrid>
        <w:gridCol w:w="4505"/>
        <w:gridCol w:w="1422"/>
        <w:gridCol w:w="1818"/>
        <w:gridCol w:w="1831"/>
      </w:tblGrid>
      <w:tr w:rsidR="009D688A" w:rsidTr="009D688A">
        <w:tc>
          <w:tcPr>
            <w:tcW w:w="4505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>College/Unit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 xml:space="preserve"># </w:t>
            </w:r>
            <w:r>
              <w:rPr>
                <w:b/>
                <w:sz w:val="24"/>
                <w:szCs w:val="24"/>
              </w:rPr>
              <w:t>Special Probation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9D688A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of Unit’s Freshmen Class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Comparison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Arts &amp; Sciences</w:t>
            </w:r>
          </w:p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77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9.8%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9.3%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Business</w:t>
            </w:r>
          </w:p>
          <w:p w:rsidR="009D688A" w:rsidRDefault="009D688A" w:rsidP="009D688A"/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30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9.8%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8.6%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Education</w:t>
            </w:r>
          </w:p>
          <w:p w:rsidR="009D688A" w:rsidRDefault="009D688A" w:rsidP="009D688A"/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11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6.4%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5.7%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Nursing, Health, &amp; Human Services</w:t>
            </w:r>
          </w:p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52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9.5%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11.9%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Academic Opportunity Program</w:t>
            </w:r>
          </w:p>
          <w:p w:rsidR="009D688A" w:rsidRDefault="009D688A" w:rsidP="009D688A"/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55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18.6%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18.6%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Exploratory Studies</w:t>
            </w:r>
          </w:p>
          <w:p w:rsidR="009D688A" w:rsidRDefault="009D688A" w:rsidP="009D688A"/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27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15.1%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12.5%</w:t>
            </w:r>
          </w:p>
        </w:tc>
      </w:tr>
      <w:tr w:rsidR="009D688A" w:rsidTr="009D688A">
        <w:tc>
          <w:tcPr>
            <w:tcW w:w="4505" w:type="dxa"/>
            <w:shd w:val="clear" w:color="auto" w:fill="F2F2F2" w:themeFill="background1" w:themeFillShade="F2"/>
          </w:tcPr>
          <w:p w:rsidR="009D688A" w:rsidRDefault="009D688A" w:rsidP="009D688A">
            <w:r>
              <w:t>Technology</w:t>
            </w:r>
          </w:p>
          <w:p w:rsidR="009D688A" w:rsidRDefault="009D688A" w:rsidP="009D688A"/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</w:pPr>
            <w:r>
              <w:t>24</w:t>
            </w:r>
          </w:p>
        </w:tc>
        <w:tc>
          <w:tcPr>
            <w:tcW w:w="1818" w:type="dxa"/>
          </w:tcPr>
          <w:p w:rsidR="009D688A" w:rsidRDefault="009D688A" w:rsidP="009D688A">
            <w:pPr>
              <w:jc w:val="center"/>
            </w:pPr>
            <w:r>
              <w:t>9.8%</w:t>
            </w:r>
          </w:p>
        </w:tc>
        <w:tc>
          <w:tcPr>
            <w:tcW w:w="1831" w:type="dxa"/>
          </w:tcPr>
          <w:p w:rsidR="009D688A" w:rsidRDefault="009D688A" w:rsidP="009D688A">
            <w:pPr>
              <w:jc w:val="center"/>
            </w:pPr>
            <w:r>
              <w:t>14.0%</w:t>
            </w:r>
          </w:p>
        </w:tc>
      </w:tr>
      <w:tr w:rsidR="009D688A" w:rsidTr="009D688A">
        <w:tc>
          <w:tcPr>
            <w:tcW w:w="4505" w:type="dxa"/>
          </w:tcPr>
          <w:p w:rsidR="009D688A" w:rsidRPr="000E2C0C" w:rsidRDefault="009D688A" w:rsidP="009D688A">
            <w:pPr>
              <w:rPr>
                <w:b/>
              </w:rPr>
            </w:pPr>
            <w:r w:rsidRPr="000E2C0C">
              <w:rPr>
                <w:b/>
              </w:rPr>
              <w:t>Total</w:t>
            </w:r>
          </w:p>
        </w:tc>
        <w:tc>
          <w:tcPr>
            <w:tcW w:w="1422" w:type="dxa"/>
          </w:tcPr>
          <w:p w:rsidR="009D688A" w:rsidRPr="003D5DF2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818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 w:rsidRPr="000E2C0C">
              <w:rPr>
                <w:b/>
              </w:rPr>
              <w:t>1</w:t>
            </w:r>
            <w:r>
              <w:rPr>
                <w:b/>
              </w:rPr>
              <w:t>0.9</w:t>
            </w:r>
            <w:r w:rsidRPr="000E2C0C">
              <w:rPr>
                <w:b/>
              </w:rPr>
              <w:t>%</w:t>
            </w:r>
          </w:p>
        </w:tc>
        <w:tc>
          <w:tcPr>
            <w:tcW w:w="1831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12.5%</w:t>
            </w:r>
          </w:p>
        </w:tc>
      </w:tr>
    </w:tbl>
    <w:p w:rsidR="009D688A" w:rsidRDefault="009D688A" w:rsidP="009D688A">
      <w:pPr>
        <w:spacing w:after="0"/>
      </w:pPr>
    </w:p>
    <w:p w:rsidR="009D688A" w:rsidRDefault="009D688A" w:rsidP="009D68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Had the freshmen dismissal policy remained at 1.00, an additional 28 first-time freshmen would have been placed on Special Probation for a total of 304 students.  This would have been 12.1% of the freshmen class, which is consistent with the rates of freshmen dismissal in 2010.</w:t>
      </w:r>
    </w:p>
    <w:p w:rsidR="009D688A" w:rsidRDefault="009D688A" w:rsidP="009D688A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77 (28%) of these students were already registered for the spring semester, suggesting an intention to return</w:t>
      </w:r>
    </w:p>
    <w:p w:rsidR="009D688A" w:rsidRDefault="009D688A" w:rsidP="009D688A">
      <w:pPr>
        <w:spacing w:after="0"/>
      </w:pPr>
    </w:p>
    <w:p w:rsidR="009D688A" w:rsidRDefault="009D688A" w:rsidP="009D688A">
      <w:pPr>
        <w:spacing w:after="0"/>
      </w:pPr>
    </w:p>
    <w:p w:rsidR="009D688A" w:rsidRDefault="009D688A" w:rsidP="009D688A">
      <w:pPr>
        <w:spacing w:after="0"/>
      </w:pPr>
      <w:r>
        <w:t xml:space="preserve">Of the 276 first time freshmen who were on special probation, 124 (45%) earned a 0.00 grade point average in the fall term.  Students who earned a 0.00 grade point average were distributed fairly evenly across colleges.  This percentage (45%) of 0.00 </w:t>
      </w:r>
      <w:proofErr w:type="spellStart"/>
      <w:r>
        <w:t>gpas</w:t>
      </w:r>
      <w:proofErr w:type="spellEnd"/>
      <w:r>
        <w:t xml:space="preserve"> is slightly higher than the percentage in 2010 (41%).</w:t>
      </w:r>
    </w:p>
    <w:p w:rsidR="009D688A" w:rsidRDefault="009D688A" w:rsidP="009D688A">
      <w:pPr>
        <w:spacing w:after="0"/>
      </w:pPr>
    </w:p>
    <w:tbl>
      <w:tblPr>
        <w:tblStyle w:val="TableGrid"/>
        <w:tblW w:w="0" w:type="auto"/>
        <w:tblLook w:val="04A0"/>
      </w:tblPr>
      <w:tblGrid>
        <w:gridCol w:w="3798"/>
        <w:gridCol w:w="1710"/>
        <w:gridCol w:w="2070"/>
        <w:gridCol w:w="1998"/>
      </w:tblGrid>
      <w:tr w:rsidR="009D688A" w:rsidTr="009D688A">
        <w:tc>
          <w:tcPr>
            <w:tcW w:w="3798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>College/Unit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 xml:space="preserve"># </w:t>
            </w:r>
            <w:r>
              <w:rPr>
                <w:b/>
                <w:sz w:val="24"/>
                <w:szCs w:val="24"/>
              </w:rPr>
              <w:t>Special Probation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with 0.00 </w:t>
            </w:r>
            <w:proofErr w:type="spellStart"/>
            <w:r>
              <w:rPr>
                <w:b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:rsidR="009D688A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with 0.00 </w:t>
            </w:r>
            <w:proofErr w:type="spellStart"/>
            <w:r>
              <w:rPr>
                <w:b/>
                <w:sz w:val="24"/>
                <w:szCs w:val="24"/>
              </w:rPr>
              <w:t>gpa</w:t>
            </w:r>
            <w:proofErr w:type="spellEnd"/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Arts &amp; Sciences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77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28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36%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Business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30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17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57%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Education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 w:rsidRPr="003D5DF2">
              <w:t>1</w:t>
            </w:r>
            <w:r>
              <w:t>1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5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45%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Nursing, Health, &amp; Human Services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52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26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50%</w:t>
            </w:r>
          </w:p>
        </w:tc>
      </w:tr>
      <w:tr w:rsidR="009D688A" w:rsidTr="009D688A">
        <w:trPr>
          <w:trHeight w:val="782"/>
        </w:trPr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Academic Opportunity Program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55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25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45%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Exploratory Studies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27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12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44%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Technology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24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10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42%</w:t>
            </w:r>
          </w:p>
        </w:tc>
      </w:tr>
      <w:tr w:rsidR="009D688A" w:rsidTr="009D688A">
        <w:tc>
          <w:tcPr>
            <w:tcW w:w="3798" w:type="dxa"/>
          </w:tcPr>
          <w:p w:rsidR="009D688A" w:rsidRPr="000E2C0C" w:rsidRDefault="009D688A" w:rsidP="009D688A">
            <w:pPr>
              <w:rPr>
                <w:b/>
              </w:rPr>
            </w:pPr>
            <w:r w:rsidRPr="000E2C0C">
              <w:rPr>
                <w:b/>
              </w:rPr>
              <w:t>Total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2070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998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</w:tr>
    </w:tbl>
    <w:p w:rsidR="009D688A" w:rsidRDefault="009D688A" w:rsidP="009D688A">
      <w:pPr>
        <w:spacing w:after="0"/>
      </w:pPr>
    </w:p>
    <w:p w:rsidR="009D688A" w:rsidRPr="00221675" w:rsidRDefault="009D688A" w:rsidP="009D688A">
      <w:pPr>
        <w:spacing w:after="0"/>
        <w:rPr>
          <w:b/>
          <w:i/>
        </w:rPr>
      </w:pPr>
    </w:p>
    <w:p w:rsidR="009D688A" w:rsidRPr="008D56D6" w:rsidRDefault="009D688A" w:rsidP="009D688A">
      <w:r>
        <w:rPr>
          <w:i/>
          <w:u w:val="single"/>
        </w:rPr>
        <w:t>Re-enrollment of Students on Special Probation</w:t>
      </w:r>
    </w:p>
    <w:p w:rsidR="009D688A" w:rsidRDefault="009D688A" w:rsidP="009D688A">
      <w:pPr>
        <w:pStyle w:val="ListParagraph"/>
        <w:numPr>
          <w:ilvl w:val="0"/>
          <w:numId w:val="2"/>
        </w:numPr>
      </w:pPr>
      <w:r>
        <w:t xml:space="preserve">65 (24%) students on special probation re-enrolled for the spring, 2012 term.   </w:t>
      </w:r>
    </w:p>
    <w:p w:rsidR="009D688A" w:rsidRPr="00626263" w:rsidRDefault="009D688A" w:rsidP="009D688A">
      <w:pPr>
        <w:pStyle w:val="ListParagraph"/>
        <w:numPr>
          <w:ilvl w:val="0"/>
          <w:numId w:val="2"/>
        </w:numPr>
      </w:pPr>
      <w:r>
        <w:t xml:space="preserve">8 students who earned a 0.00 </w:t>
      </w:r>
      <w:proofErr w:type="spellStart"/>
      <w:proofErr w:type="gramStart"/>
      <w:r>
        <w:t>gpa</w:t>
      </w:r>
      <w:proofErr w:type="spellEnd"/>
      <w:proofErr w:type="gramEnd"/>
      <w:r>
        <w:t xml:space="preserve"> in the fall re-enrolled for the spring.</w:t>
      </w:r>
    </w:p>
    <w:tbl>
      <w:tblPr>
        <w:tblStyle w:val="TableGrid"/>
        <w:tblW w:w="0" w:type="auto"/>
        <w:tblLook w:val="04A0"/>
      </w:tblPr>
      <w:tblGrid>
        <w:gridCol w:w="3798"/>
        <w:gridCol w:w="1710"/>
        <w:gridCol w:w="2070"/>
        <w:gridCol w:w="1998"/>
      </w:tblGrid>
      <w:tr w:rsidR="009D688A" w:rsidTr="009D688A">
        <w:tc>
          <w:tcPr>
            <w:tcW w:w="3798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>College/Unit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 w:rsidRPr="00214A06">
              <w:rPr>
                <w:b/>
                <w:sz w:val="24"/>
                <w:szCs w:val="24"/>
              </w:rPr>
              <w:t xml:space="preserve"># </w:t>
            </w:r>
            <w:r>
              <w:rPr>
                <w:b/>
                <w:sz w:val="24"/>
                <w:szCs w:val="24"/>
              </w:rPr>
              <w:t>Special Probation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D688A" w:rsidRPr="00214A06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re-enrolled for spring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D688A" w:rsidRDefault="009D688A" w:rsidP="009D6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re-enrolled for spring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Arts &amp; Sciences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77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28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36%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Business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30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6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20%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Education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 w:rsidRPr="003D5DF2">
              <w:t>1</w:t>
            </w:r>
            <w:r>
              <w:t>1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18%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Nursing, Health, &amp; Human Services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52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16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31%</w:t>
            </w:r>
          </w:p>
        </w:tc>
      </w:tr>
      <w:tr w:rsidR="009D688A" w:rsidTr="009D688A">
        <w:trPr>
          <w:trHeight w:val="782"/>
        </w:trPr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Academic Opportunity Program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55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5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9%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Student Academic Services Center --- Exploratory Studies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27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7%</w:t>
            </w:r>
          </w:p>
        </w:tc>
      </w:tr>
      <w:tr w:rsidR="009D688A" w:rsidTr="009D688A">
        <w:tc>
          <w:tcPr>
            <w:tcW w:w="3798" w:type="dxa"/>
            <w:shd w:val="clear" w:color="auto" w:fill="F2F2F2" w:themeFill="background1" w:themeFillShade="F2"/>
          </w:tcPr>
          <w:p w:rsidR="009D688A" w:rsidRDefault="009D688A" w:rsidP="009D688A">
            <w:r>
              <w:t>Technology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</w:pPr>
            <w:r>
              <w:t>24</w:t>
            </w:r>
          </w:p>
        </w:tc>
        <w:tc>
          <w:tcPr>
            <w:tcW w:w="2070" w:type="dxa"/>
          </w:tcPr>
          <w:p w:rsidR="009D688A" w:rsidRDefault="009D688A" w:rsidP="009D688A">
            <w:pPr>
              <w:jc w:val="center"/>
            </w:pPr>
            <w:r>
              <w:t>6</w:t>
            </w:r>
          </w:p>
        </w:tc>
        <w:tc>
          <w:tcPr>
            <w:tcW w:w="1998" w:type="dxa"/>
          </w:tcPr>
          <w:p w:rsidR="009D688A" w:rsidRDefault="009D688A" w:rsidP="009D688A">
            <w:pPr>
              <w:jc w:val="center"/>
            </w:pPr>
            <w:r>
              <w:t>25%</w:t>
            </w:r>
          </w:p>
        </w:tc>
      </w:tr>
      <w:tr w:rsidR="009D688A" w:rsidTr="009D688A">
        <w:tc>
          <w:tcPr>
            <w:tcW w:w="3798" w:type="dxa"/>
          </w:tcPr>
          <w:p w:rsidR="009D688A" w:rsidRPr="000E2C0C" w:rsidRDefault="009D688A" w:rsidP="009D688A">
            <w:pPr>
              <w:rPr>
                <w:b/>
              </w:rPr>
            </w:pPr>
            <w:r w:rsidRPr="000E2C0C">
              <w:rPr>
                <w:b/>
              </w:rPr>
              <w:t>Total</w:t>
            </w:r>
          </w:p>
        </w:tc>
        <w:tc>
          <w:tcPr>
            <w:tcW w:w="1710" w:type="dxa"/>
          </w:tcPr>
          <w:p w:rsidR="009D688A" w:rsidRPr="003D5DF2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2070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98" w:type="dxa"/>
          </w:tcPr>
          <w:p w:rsidR="009D688A" w:rsidRPr="000E2C0C" w:rsidRDefault="009D688A" w:rsidP="009D688A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</w:tr>
    </w:tbl>
    <w:p w:rsidR="009D688A" w:rsidRDefault="009D688A" w:rsidP="009D688A">
      <w:pPr>
        <w:spacing w:after="0"/>
        <w:ind w:firstLine="720"/>
      </w:pPr>
    </w:p>
    <w:p w:rsidR="009D688A" w:rsidRDefault="009D688A" w:rsidP="009D688A">
      <w:pPr>
        <w:spacing w:after="0"/>
        <w:ind w:firstLine="720"/>
      </w:pPr>
    </w:p>
    <w:p w:rsidR="00201395" w:rsidRDefault="00201395" w:rsidP="00015CFB">
      <w:r>
        <w:t>XI.</w:t>
      </w:r>
      <w:r>
        <w:tab/>
      </w:r>
      <w:r w:rsidRPr="00201395">
        <w:rPr>
          <w:b/>
        </w:rPr>
        <w:t>MOTION TO MOVE INTO EXECUTIVE SESSION</w:t>
      </w:r>
      <w:r>
        <w:t>: 5:20 p.m.</w:t>
      </w:r>
    </w:p>
    <w:p w:rsidR="00201395" w:rsidRPr="008E7A8E" w:rsidRDefault="00201395" w:rsidP="00015CFB">
      <w:pPr>
        <w:rPr>
          <w:color w:val="1F497D" w:themeColor="text2"/>
        </w:rPr>
      </w:pPr>
      <w:r>
        <w:tab/>
      </w:r>
      <w:r w:rsidRPr="00201395">
        <w:rPr>
          <w:b/>
        </w:rPr>
        <w:t>MOTION TO MOVE OUT OF EXECUTIVE SESSION</w:t>
      </w:r>
      <w:r>
        <w:t xml:space="preserve"> and adjourn </w:t>
      </w:r>
      <w:r w:rsidRPr="008E7A8E">
        <w:rPr>
          <w:color w:val="1F497D" w:themeColor="text2"/>
        </w:rPr>
        <w:t>5:22</w:t>
      </w:r>
      <w:r w:rsidR="008E7A8E" w:rsidRPr="008E7A8E">
        <w:rPr>
          <w:color w:val="1F497D" w:themeColor="text2"/>
        </w:rPr>
        <w:t xml:space="preserve"> p.m. </w:t>
      </w:r>
    </w:p>
    <w:sectPr w:rsidR="00201395" w:rsidRPr="008E7A8E" w:rsidSect="00841512">
      <w:footerReference w:type="default" r:id="rId8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27" w:rsidRDefault="00764A27" w:rsidP="00BC00F0">
      <w:pPr>
        <w:spacing w:after="0"/>
      </w:pPr>
      <w:r>
        <w:separator/>
      </w:r>
    </w:p>
  </w:endnote>
  <w:endnote w:type="continuationSeparator" w:id="0">
    <w:p w:rsidR="00764A27" w:rsidRDefault="00764A27" w:rsidP="00BC0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641"/>
      <w:docPartObj>
        <w:docPartGallery w:val="Page Numbers (Bottom of Page)"/>
        <w:docPartUnique/>
      </w:docPartObj>
    </w:sdtPr>
    <w:sdtContent>
      <w:p w:rsidR="00BC00F0" w:rsidRDefault="007A63C9">
        <w:pPr>
          <w:pStyle w:val="Footer"/>
          <w:jc w:val="right"/>
        </w:pPr>
        <w:r>
          <w:fldChar w:fldCharType="begin"/>
        </w:r>
        <w:r w:rsidR="00923519">
          <w:instrText xml:space="preserve"> PAGE   \* MERGEFORMAT </w:instrText>
        </w:r>
        <w:r>
          <w:fldChar w:fldCharType="separate"/>
        </w:r>
        <w:r w:rsidR="004F5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0F0" w:rsidRDefault="00BC0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27" w:rsidRDefault="00764A27" w:rsidP="00BC00F0">
      <w:pPr>
        <w:spacing w:after="0"/>
      </w:pPr>
      <w:r>
        <w:separator/>
      </w:r>
    </w:p>
  </w:footnote>
  <w:footnote w:type="continuationSeparator" w:id="0">
    <w:p w:rsidR="00764A27" w:rsidRDefault="00764A27" w:rsidP="00BC00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58"/>
    <w:multiLevelType w:val="hybridMultilevel"/>
    <w:tmpl w:val="9104EB20"/>
    <w:lvl w:ilvl="0" w:tplc="BD120C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1C91"/>
    <w:multiLevelType w:val="hybridMultilevel"/>
    <w:tmpl w:val="9E581034"/>
    <w:lvl w:ilvl="0" w:tplc="8166A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12"/>
    <w:rsid w:val="00015CFB"/>
    <w:rsid w:val="00091CEF"/>
    <w:rsid w:val="000D79C3"/>
    <w:rsid w:val="00145A3B"/>
    <w:rsid w:val="00201395"/>
    <w:rsid w:val="00214B5B"/>
    <w:rsid w:val="00241B4B"/>
    <w:rsid w:val="002D6DA7"/>
    <w:rsid w:val="002E7F14"/>
    <w:rsid w:val="003153F1"/>
    <w:rsid w:val="00354ECD"/>
    <w:rsid w:val="003B3EF0"/>
    <w:rsid w:val="004607D8"/>
    <w:rsid w:val="00471225"/>
    <w:rsid w:val="004B09FD"/>
    <w:rsid w:val="004F52B1"/>
    <w:rsid w:val="004F647C"/>
    <w:rsid w:val="0050285C"/>
    <w:rsid w:val="00560AF8"/>
    <w:rsid w:val="005A27BD"/>
    <w:rsid w:val="00660F03"/>
    <w:rsid w:val="0068414D"/>
    <w:rsid w:val="00685AB2"/>
    <w:rsid w:val="006C2915"/>
    <w:rsid w:val="00707AB1"/>
    <w:rsid w:val="00740D23"/>
    <w:rsid w:val="00764A27"/>
    <w:rsid w:val="007A63C9"/>
    <w:rsid w:val="00815CB7"/>
    <w:rsid w:val="008266B5"/>
    <w:rsid w:val="00841512"/>
    <w:rsid w:val="0086155E"/>
    <w:rsid w:val="008E7A8E"/>
    <w:rsid w:val="00923519"/>
    <w:rsid w:val="00934D11"/>
    <w:rsid w:val="009634B0"/>
    <w:rsid w:val="009738C6"/>
    <w:rsid w:val="00987277"/>
    <w:rsid w:val="009D688A"/>
    <w:rsid w:val="009E7DE0"/>
    <w:rsid w:val="00A068AF"/>
    <w:rsid w:val="00A92C16"/>
    <w:rsid w:val="00A94B72"/>
    <w:rsid w:val="00AD15C4"/>
    <w:rsid w:val="00BC00F0"/>
    <w:rsid w:val="00BC4E09"/>
    <w:rsid w:val="00C043A5"/>
    <w:rsid w:val="00C5425D"/>
    <w:rsid w:val="00D2336B"/>
    <w:rsid w:val="00D43915"/>
    <w:rsid w:val="00EA0006"/>
    <w:rsid w:val="00F33562"/>
    <w:rsid w:val="00F70E64"/>
    <w:rsid w:val="00F76AB8"/>
    <w:rsid w:val="00F875F2"/>
    <w:rsid w:val="00F87BED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 w:firstLine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FD"/>
    <w:pPr>
      <w:spacing w:after="0"/>
    </w:pPr>
  </w:style>
  <w:style w:type="paragraph" w:styleId="ListParagraph">
    <w:name w:val="List Paragraph"/>
    <w:basedOn w:val="Normal"/>
    <w:uiPriority w:val="34"/>
    <w:qFormat/>
    <w:rsid w:val="00201395"/>
    <w:pPr>
      <w:spacing w:after="200" w:line="276" w:lineRule="auto"/>
      <w:ind w:left="720" w:right="0" w:firstLine="0"/>
      <w:contextualSpacing/>
    </w:pPr>
  </w:style>
  <w:style w:type="table" w:styleId="TableGrid">
    <w:name w:val="Table Grid"/>
    <w:basedOn w:val="TableNormal"/>
    <w:uiPriority w:val="59"/>
    <w:rsid w:val="009D688A"/>
    <w:pPr>
      <w:spacing w:after="0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688A"/>
    <w:pPr>
      <w:spacing w:after="200"/>
      <w:ind w:left="0" w:right="0" w:firstLine="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C0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0F0"/>
  </w:style>
  <w:style w:type="paragraph" w:styleId="Footer">
    <w:name w:val="footer"/>
    <w:basedOn w:val="Normal"/>
    <w:link w:val="FooterChar"/>
    <w:uiPriority w:val="99"/>
    <w:unhideWhenUsed/>
    <w:rsid w:val="00BC0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 w:firstLine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FD"/>
    <w:pPr>
      <w:spacing w:after="0"/>
    </w:pPr>
  </w:style>
  <w:style w:type="paragraph" w:styleId="ListParagraph">
    <w:name w:val="List Paragraph"/>
    <w:basedOn w:val="Normal"/>
    <w:uiPriority w:val="34"/>
    <w:qFormat/>
    <w:rsid w:val="00201395"/>
    <w:pPr>
      <w:spacing w:after="200" w:line="276" w:lineRule="auto"/>
      <w:ind w:left="720" w:right="0" w:firstLine="0"/>
      <w:contextualSpacing/>
    </w:pPr>
  </w:style>
  <w:style w:type="table" w:styleId="TableGrid">
    <w:name w:val="Table Grid"/>
    <w:basedOn w:val="TableNormal"/>
    <w:uiPriority w:val="59"/>
    <w:rsid w:val="009D688A"/>
    <w:pPr>
      <w:spacing w:after="0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688A"/>
    <w:pPr>
      <w:spacing w:after="200"/>
      <w:ind w:left="0" w:right="0" w:firstLine="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C0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0F0"/>
  </w:style>
  <w:style w:type="paragraph" w:styleId="Footer">
    <w:name w:val="footer"/>
    <w:basedOn w:val="Normal"/>
    <w:link w:val="FooterChar"/>
    <w:uiPriority w:val="99"/>
    <w:unhideWhenUsed/>
    <w:rsid w:val="00BC0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0EB8-14A7-4C34-AE3C-A3C43FC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Kennedy</dc:creator>
  <cp:keywords/>
  <dc:description/>
  <cp:lastModifiedBy>Patricia Ann Kennedy</cp:lastModifiedBy>
  <cp:revision>2</cp:revision>
  <cp:lastPrinted>2012-02-29T19:54:00Z</cp:lastPrinted>
  <dcterms:created xsi:type="dcterms:W3CDTF">2012-02-29T19:54:00Z</dcterms:created>
  <dcterms:modified xsi:type="dcterms:W3CDTF">2012-02-29T19:54:00Z</dcterms:modified>
</cp:coreProperties>
</file>